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numId w:val="0"/>
        </w:numPr>
        <w:tabs>
          <w:tab w:val="left" w:pos="540"/>
        </w:tabs>
        <w:spacing w:line="360" w:lineRule="auto"/>
        <w:jc w:val="both"/>
        <w:rPr>
          <w:rFonts w:hint="default" w:ascii="宋体" w:hAnsi="宋体" w:cs="宋体"/>
          <w:b/>
          <w:bCs/>
          <w:kern w:val="44"/>
          <w:sz w:val="32"/>
          <w:szCs w:val="32"/>
          <w:highlight w:val="none"/>
          <w:lang w:val="en-US" w:eastAsia="zh-CN"/>
        </w:rPr>
      </w:pPr>
      <w:bookmarkStart w:id="0" w:name="_Toc282024231"/>
      <w:bookmarkStart w:id="1" w:name="_Toc283043102"/>
      <w:r>
        <w:rPr>
          <w:rFonts w:hint="eastAsia" w:ascii="宋体" w:hAnsi="宋体" w:cs="宋体"/>
          <w:b/>
          <w:bCs/>
          <w:kern w:val="44"/>
          <w:sz w:val="32"/>
          <w:szCs w:val="32"/>
          <w:highlight w:val="none"/>
          <w:lang w:val="en-US" w:eastAsia="zh-CN"/>
        </w:rPr>
        <w:t>附件：</w:t>
      </w:r>
      <w:bookmarkStart w:id="11" w:name="_GoBack"/>
      <w:bookmarkEnd w:id="11"/>
    </w:p>
    <w:p>
      <w:pPr>
        <w:pStyle w:val="8"/>
        <w:numPr>
          <w:numId w:val="0"/>
        </w:numPr>
        <w:tabs>
          <w:tab w:val="left" w:pos="540"/>
        </w:tabs>
        <w:spacing w:line="360" w:lineRule="auto"/>
        <w:jc w:val="center"/>
        <w:rPr>
          <w:rFonts w:hint="eastAsia" w:ascii="宋体" w:hAnsi="宋体" w:cs="宋体"/>
          <w:b/>
          <w:bCs/>
          <w:kern w:val="44"/>
          <w:sz w:val="32"/>
          <w:szCs w:val="32"/>
          <w:highlight w:val="none"/>
        </w:rPr>
      </w:pPr>
      <w:r>
        <w:rPr>
          <w:rFonts w:hint="eastAsia" w:ascii="宋体" w:hAnsi="宋体" w:cs="宋体"/>
          <w:b/>
          <w:bCs/>
          <w:kern w:val="44"/>
          <w:sz w:val="32"/>
          <w:szCs w:val="32"/>
          <w:highlight w:val="none"/>
          <w:lang w:val="en-US" w:eastAsia="zh-CN"/>
        </w:rPr>
        <w:t>服务</w:t>
      </w:r>
      <w:r>
        <w:rPr>
          <w:rFonts w:hint="eastAsia" w:ascii="宋体" w:hAnsi="宋体" w:cs="宋体"/>
          <w:b/>
          <w:bCs/>
          <w:kern w:val="44"/>
          <w:sz w:val="32"/>
          <w:szCs w:val="32"/>
          <w:highlight w:val="none"/>
        </w:rPr>
        <w:t>需求</w:t>
      </w:r>
      <w:bookmarkStart w:id="2" w:name="_Toc37581421"/>
      <w:bookmarkStart w:id="3" w:name="_Toc40762371"/>
      <w:bookmarkStart w:id="4" w:name="_Toc37663392"/>
      <w:bookmarkStart w:id="5" w:name="_Toc46308684"/>
      <w:bookmarkStart w:id="6" w:name="_Toc37569520"/>
      <w:bookmarkStart w:id="7" w:name="_Toc37245277"/>
      <w:bookmarkStart w:id="8" w:name="_Toc46308528"/>
      <w:bookmarkStart w:id="9" w:name="_Toc37331039"/>
      <w:bookmarkStart w:id="10" w:name="_Toc37331081"/>
    </w:p>
    <w:bookmarkEnd w:id="2"/>
    <w:bookmarkEnd w:id="3"/>
    <w:bookmarkEnd w:id="4"/>
    <w:bookmarkEnd w:id="5"/>
    <w:bookmarkEnd w:id="6"/>
    <w:bookmarkEnd w:id="7"/>
    <w:bookmarkEnd w:id="8"/>
    <w:bookmarkEnd w:id="9"/>
    <w:bookmarkEnd w:id="10"/>
    <w:p>
      <w:pPr>
        <w:spacing w:line="360" w:lineRule="auto"/>
        <w:rPr>
          <w:rFonts w:ascii="宋体" w:hAnsi="宋体" w:cs="宋体"/>
          <w:b/>
          <w:spacing w:val="6"/>
          <w:szCs w:val="21"/>
        </w:rPr>
      </w:pPr>
      <w:r>
        <w:rPr>
          <w:rFonts w:hint="eastAsia" w:ascii="宋体" w:hAnsi="宋体" w:cs="宋体"/>
          <w:b/>
          <w:spacing w:val="6"/>
          <w:szCs w:val="21"/>
        </w:rPr>
        <w:t>一、服务内容</w:t>
      </w:r>
    </w:p>
    <w:p>
      <w:pPr>
        <w:spacing w:line="360" w:lineRule="auto"/>
        <w:ind w:firstLine="420" w:firstLineChars="200"/>
        <w:rPr>
          <w:rFonts w:ascii="宋体" w:hAnsi="宋体" w:cs="宋体"/>
          <w:kern w:val="0"/>
          <w:szCs w:val="21"/>
        </w:rPr>
      </w:pPr>
      <w:r>
        <w:rPr>
          <w:rFonts w:hint="eastAsia" w:ascii="宋体" w:hAnsi="宋体" w:cs="宋体"/>
          <w:kern w:val="0"/>
          <w:szCs w:val="21"/>
        </w:rPr>
        <w:t>本次拟通过招标方式确定4家造价咨询单位向</w:t>
      </w:r>
      <w:r>
        <w:rPr>
          <w:rFonts w:hint="eastAsia" w:ascii="宋体" w:hAnsi="宋体" w:cs="宋体"/>
          <w:szCs w:val="21"/>
        </w:rPr>
        <w:t>安庆市第一人民医院提供</w:t>
      </w:r>
      <w:r>
        <w:rPr>
          <w:rFonts w:hint="eastAsia" w:ascii="宋体" w:hAnsi="宋体" w:cs="宋体"/>
          <w:bCs/>
          <w:spacing w:val="6"/>
          <w:szCs w:val="21"/>
        </w:rPr>
        <w:t>工程造价咨询服务，服务内容包括：</w:t>
      </w:r>
      <w:r>
        <w:rPr>
          <w:rFonts w:hint="eastAsia" w:ascii="宋体" w:hAnsi="宋体" w:cs="宋体"/>
          <w:kern w:val="0"/>
          <w:szCs w:val="21"/>
        </w:rPr>
        <w:t>工程量清单编制、跟踪审计、竣工结算审计等造价有关的咨询服务。具体咨询服务项目以合同期内实际发生为准。</w:t>
      </w:r>
    </w:p>
    <w:p>
      <w:pPr>
        <w:spacing w:line="360" w:lineRule="auto"/>
        <w:rPr>
          <w:rFonts w:ascii="宋体" w:hAnsi="宋体" w:cs="宋体"/>
          <w:b/>
          <w:spacing w:val="6"/>
          <w:szCs w:val="21"/>
        </w:rPr>
      </w:pPr>
      <w:r>
        <w:rPr>
          <w:rFonts w:hint="eastAsia" w:ascii="宋体" w:hAnsi="宋体" w:cs="宋体"/>
          <w:b/>
          <w:spacing w:val="6"/>
          <w:szCs w:val="21"/>
        </w:rPr>
        <w:t>二、服务收费</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工程造价咨询服务项目及收费标准</w:t>
      </w:r>
      <w:r>
        <w:rPr>
          <w:rFonts w:hint="eastAsia"/>
        </w:rPr>
        <w:t>参照《收费标准表》</w:t>
      </w:r>
      <w:r>
        <w:rPr>
          <w:rFonts w:hint="eastAsia" w:ascii="宋体" w:hAnsi="宋体" w:cs="宋体"/>
          <w:kern w:val="0"/>
          <w:szCs w:val="21"/>
        </w:rPr>
        <w:t>规定的收费标准的中标百分比计取，具体收费标准详见附件。</w:t>
      </w:r>
    </w:p>
    <w:p>
      <w:pPr>
        <w:spacing w:line="360" w:lineRule="auto"/>
        <w:ind w:firstLine="422" w:firstLineChars="200"/>
        <w:rPr>
          <w:rFonts w:hint="eastAsia" w:ascii="宋体" w:hAnsi="宋体" w:cs="宋体"/>
          <w:b/>
        </w:rPr>
      </w:pPr>
      <w:r>
        <w:rPr>
          <w:rFonts w:hint="eastAsia" w:ascii="宋体" w:hAnsi="宋体" w:cs="宋体"/>
          <w:b/>
        </w:rPr>
        <w:t>工程量清单控制价编制费用：</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1.非招标项目，按财务结算制度，结合中标人的中标折扣费率，根据中标人已提交的最终工程量清单及控制价咨询成果文件，并经招标人签署意见后一次性支付工程量清单及控制价编制费。</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2.招标项目，即通过招标方式确定施工中标人的项目，结合中标人的中标折扣费率，按施工中标人中标价计取，由项目施工中标人在领取中标通知书前支付。</w:t>
      </w:r>
    </w:p>
    <w:p>
      <w:pPr>
        <w:spacing w:line="360" w:lineRule="auto"/>
        <w:ind w:firstLine="422" w:firstLineChars="200"/>
        <w:rPr>
          <w:rFonts w:hint="eastAsia" w:ascii="宋体" w:hAnsi="宋体" w:cs="宋体"/>
          <w:b/>
        </w:rPr>
      </w:pPr>
      <w:r>
        <w:rPr>
          <w:rFonts w:hint="eastAsia" w:ascii="宋体" w:hAnsi="宋体" w:cs="宋体"/>
          <w:b/>
        </w:rPr>
        <w:t>竣工结算及跟踪审计费用：</w:t>
      </w:r>
    </w:p>
    <w:p>
      <w:pPr>
        <w:spacing w:line="360" w:lineRule="auto"/>
        <w:ind w:firstLine="420" w:firstLineChars="200"/>
        <w:rPr>
          <w:rFonts w:hint="eastAsia" w:ascii="宋体" w:hAnsi="宋体" w:cs="宋体"/>
          <w:kern w:val="0"/>
          <w:szCs w:val="21"/>
        </w:rPr>
      </w:pPr>
      <w:r>
        <w:rPr>
          <w:rFonts w:hint="eastAsia" w:ascii="宋体" w:hAnsi="宋体" w:cs="宋体"/>
        </w:rPr>
        <w:t>按结算制度，结合中标人的中标折扣费率，根据中标人已提交的最终工程竣工结算审计报告，并经招标人签署意见后一次性支付被审核项目的基本收费及审减额10%以内部分收费。涉及审减额10%以上及审增额部分费用由施工方支付，招标人负责协调，其中跟踪审计基本收费不计取，按竣工结算审核费用收取。</w:t>
      </w:r>
    </w:p>
    <w:p>
      <w:pPr>
        <w:spacing w:line="360" w:lineRule="auto"/>
        <w:rPr>
          <w:rFonts w:hint="eastAsia" w:ascii="宋体" w:hAnsi="宋体" w:cs="宋体"/>
          <w:b/>
          <w:bCs/>
          <w:szCs w:val="21"/>
        </w:rPr>
      </w:pPr>
      <w:r>
        <w:rPr>
          <w:rFonts w:hint="eastAsia" w:ascii="宋体" w:hAnsi="宋体" w:cs="宋体"/>
          <w:b/>
          <w:bCs/>
          <w:szCs w:val="21"/>
        </w:rPr>
        <w:t>三、建库后管理</w:t>
      </w:r>
    </w:p>
    <w:p>
      <w:pPr>
        <w:spacing w:line="360" w:lineRule="auto"/>
        <w:ind w:firstLine="315" w:firstLineChars="150"/>
        <w:rPr>
          <w:rFonts w:hint="eastAsia" w:ascii="宋体" w:hAnsi="宋体" w:cs="宋体"/>
          <w:szCs w:val="21"/>
        </w:rPr>
      </w:pPr>
      <w:r>
        <w:rPr>
          <w:rFonts w:hint="eastAsia" w:ascii="宋体" w:hAnsi="宋体" w:cs="宋体"/>
          <w:szCs w:val="21"/>
        </w:rPr>
        <w:t>1.任务分配原则：由招标人在库中随机抽取。</w:t>
      </w:r>
    </w:p>
    <w:p>
      <w:pPr>
        <w:spacing w:line="360" w:lineRule="auto"/>
        <w:rPr>
          <w:rFonts w:hint="eastAsia" w:ascii="宋体" w:hAnsi="宋体" w:cs="宋体"/>
          <w:szCs w:val="21"/>
        </w:rPr>
      </w:pPr>
      <w:r>
        <w:rPr>
          <w:rFonts w:hint="eastAsia" w:ascii="宋体" w:hAnsi="宋体" w:cs="宋体"/>
          <w:szCs w:val="21"/>
        </w:rPr>
        <w:t xml:space="preserve">   2.委托合同的签订。中标人应及时与招标人签订合同，明确服务事项、委托范围、服务时限、双方责任、质量要求、处罚规定等内容。</w:t>
      </w:r>
    </w:p>
    <w:p>
      <w:pPr>
        <w:spacing w:line="360" w:lineRule="auto"/>
        <w:ind w:firstLine="210" w:firstLineChars="100"/>
        <w:rPr>
          <w:rFonts w:hint="eastAsia" w:ascii="宋体" w:hAnsi="宋体" w:cs="宋体"/>
          <w:szCs w:val="21"/>
        </w:rPr>
      </w:pPr>
      <w:r>
        <w:rPr>
          <w:rFonts w:hint="eastAsia" w:ascii="宋体" w:hAnsi="宋体" w:cs="宋体"/>
          <w:szCs w:val="21"/>
        </w:rPr>
        <w:t xml:space="preserve"> 3.服务项目组的组成。中标人拟投入技术人员须为投标文件中拟派人员。</w:t>
      </w:r>
    </w:p>
    <w:p>
      <w:pPr>
        <w:spacing w:line="360" w:lineRule="auto"/>
        <w:ind w:firstLine="420" w:firstLineChars="200"/>
        <w:rPr>
          <w:rFonts w:hint="eastAsia" w:ascii="宋体" w:hAnsi="宋体" w:cs="宋体"/>
          <w:szCs w:val="21"/>
        </w:rPr>
      </w:pPr>
      <w:r>
        <w:rPr>
          <w:rFonts w:hint="eastAsia" w:ascii="宋体" w:hAnsi="宋体" w:cs="宋体"/>
          <w:szCs w:val="21"/>
        </w:rPr>
        <w:t>4.选中的投标人提供的服务或质量不能达到招标人的要求或不按约定履约等不诚信行为被查实的，招标人有权将其清除出库。</w:t>
      </w:r>
    </w:p>
    <w:p>
      <w:pPr>
        <w:spacing w:line="360" w:lineRule="auto"/>
        <w:ind w:right="105" w:rightChars="50" w:firstLine="420" w:firstLineChars="200"/>
        <w:rPr>
          <w:rFonts w:hint="eastAsia" w:ascii="宋体" w:hAnsi="宋体" w:cs="宋体"/>
          <w:szCs w:val="21"/>
        </w:rPr>
      </w:pPr>
      <w:r>
        <w:rPr>
          <w:rFonts w:hint="eastAsia" w:ascii="宋体" w:hAnsi="宋体" w:cs="宋体"/>
          <w:szCs w:val="21"/>
        </w:rPr>
        <w:t>5.服务期内如入库单位出现营业执照被吊销，导致其无法保证后续服务能力和质量的，招标人将取消其入库资格。</w:t>
      </w:r>
    </w:p>
    <w:p>
      <w:pPr>
        <w:spacing w:line="360" w:lineRule="auto"/>
        <w:ind w:right="105" w:rightChars="50" w:firstLine="420" w:firstLineChars="200"/>
        <w:rPr>
          <w:rFonts w:hint="eastAsia" w:ascii="宋体" w:hAnsi="宋体" w:cs="宋体"/>
          <w:szCs w:val="21"/>
        </w:rPr>
      </w:pPr>
      <w:r>
        <w:rPr>
          <w:rFonts w:hint="eastAsia" w:ascii="宋体" w:hAnsi="宋体" w:cs="宋体"/>
          <w:szCs w:val="21"/>
        </w:rPr>
        <w:t>6.任务情况下，如发现入库单位有弄虚作假等不良行为的，招标人有权立即取消其入库资格。</w:t>
      </w:r>
    </w:p>
    <w:p>
      <w:pPr>
        <w:spacing w:line="360" w:lineRule="auto"/>
        <w:ind w:right="105" w:rightChars="50" w:firstLine="420" w:firstLineChars="200"/>
        <w:rPr>
          <w:rFonts w:hint="eastAsia" w:ascii="宋体" w:hAnsi="宋体" w:cs="宋体"/>
          <w:szCs w:val="21"/>
        </w:rPr>
      </w:pPr>
      <w:r>
        <w:rPr>
          <w:rFonts w:hint="eastAsia" w:ascii="宋体" w:hAnsi="宋体" w:cs="宋体"/>
          <w:szCs w:val="21"/>
        </w:rPr>
        <w:t>7.合同履约期限内招标人不保证入库单位具体承接业务的数量。</w:t>
      </w:r>
    </w:p>
    <w:p>
      <w:pPr>
        <w:spacing w:line="360" w:lineRule="auto"/>
        <w:ind w:right="105" w:rightChars="50" w:firstLine="420" w:firstLineChars="200"/>
        <w:rPr>
          <w:rFonts w:ascii="宋体" w:hAnsi="宋体" w:cs="宋体"/>
          <w:szCs w:val="21"/>
        </w:rPr>
      </w:pPr>
      <w:r>
        <w:rPr>
          <w:rFonts w:hint="eastAsia" w:ascii="宋体" w:hAnsi="宋体" w:cs="宋体"/>
          <w:szCs w:val="21"/>
        </w:rPr>
        <w:t>8.本项目合同履约期限内，如遇入库单位数量减少或招标人需求任务量过大，现有入库单位服务不能满足招标人实际需求，招标人有权随时另行增加入库单位。</w:t>
      </w:r>
    </w:p>
    <w:p>
      <w:pPr>
        <w:spacing w:line="360" w:lineRule="auto"/>
        <w:ind w:firstLine="420" w:firstLineChars="200"/>
        <w:rPr>
          <w:rFonts w:hint="eastAsia" w:ascii="宋体" w:hAnsi="宋体" w:cs="宋体"/>
          <w:szCs w:val="21"/>
        </w:rPr>
      </w:pPr>
      <w:r>
        <w:rPr>
          <w:rFonts w:hint="eastAsia" w:ascii="宋体" w:hAnsi="宋体" w:cs="宋体"/>
          <w:szCs w:val="21"/>
        </w:rPr>
        <w:t>9.如遇特殊专业（行业）要求，入库单位不能满足编制需要的，招标人可委托具有相应编制能力的非库内咨询单位完成相关工作。</w:t>
      </w:r>
    </w:p>
    <w:p>
      <w:pPr>
        <w:spacing w:line="500" w:lineRule="exact"/>
        <w:ind w:firstLine="420" w:firstLineChars="200"/>
        <w:rPr>
          <w:rFonts w:hint="eastAsia" w:ascii="宋体" w:hAnsi="宋体"/>
          <w:szCs w:val="21"/>
        </w:rPr>
      </w:pPr>
      <w:r>
        <w:rPr>
          <w:rFonts w:hint="eastAsia" w:ascii="宋体" w:hAnsi="宋体" w:cs="宋体"/>
          <w:szCs w:val="21"/>
        </w:rPr>
        <w:t>10.建库后，对被列入</w:t>
      </w:r>
      <w:r>
        <w:rPr>
          <w:rFonts w:hint="eastAsia" w:ascii="宋体" w:hAnsi="宋体"/>
          <w:szCs w:val="21"/>
        </w:rPr>
        <w:t>中国裁判文书网</w:t>
      </w:r>
      <w:r>
        <w:rPr>
          <w:rFonts w:hint="eastAsia" w:ascii="宋体" w:hAnsi="宋体" w:cs="宋体"/>
          <w:szCs w:val="21"/>
        </w:rPr>
        <w:t>行贿行为供应商名单的入库单位</w:t>
      </w:r>
      <w:r>
        <w:rPr>
          <w:rFonts w:hint="eastAsia" w:ascii="宋体" w:hAnsi="宋体"/>
          <w:szCs w:val="21"/>
        </w:rPr>
        <w:t>，采购方将采取降低考核评价分数、降低供货份额、缩短服务期限、终止或解除合同等处理措施。</w:t>
      </w:r>
    </w:p>
    <w:p>
      <w:pPr>
        <w:spacing w:line="500" w:lineRule="exact"/>
        <w:rPr>
          <w:rFonts w:ascii="宋体" w:hAnsi="宋体" w:cs="宋体"/>
          <w:b/>
          <w:bCs/>
          <w:szCs w:val="21"/>
          <w:shd w:val="clear" w:color="auto" w:fill="FFFFFF"/>
        </w:rPr>
      </w:pPr>
      <w:r>
        <w:rPr>
          <w:rFonts w:hint="eastAsia" w:ascii="宋体" w:hAnsi="宋体" w:cs="宋体"/>
          <w:b/>
          <w:bCs/>
          <w:szCs w:val="21"/>
          <w:shd w:val="clear" w:color="auto" w:fill="FFFFFF"/>
        </w:rPr>
        <w:t>四、人员要求</w:t>
      </w:r>
    </w:p>
    <w:p>
      <w:pPr>
        <w:spacing w:line="500" w:lineRule="exact"/>
        <w:ind w:firstLine="444" w:firstLineChars="200"/>
        <w:rPr>
          <w:rFonts w:ascii="宋体" w:hAnsi="宋体" w:cs="宋体"/>
          <w:bCs/>
          <w:spacing w:val="6"/>
          <w:szCs w:val="21"/>
        </w:rPr>
      </w:pPr>
      <w:r>
        <w:rPr>
          <w:rFonts w:hint="eastAsia" w:ascii="宋体" w:hAnsi="宋体" w:cs="宋体"/>
          <w:bCs/>
          <w:spacing w:val="6"/>
          <w:szCs w:val="21"/>
        </w:rPr>
        <w:t>1</w:t>
      </w:r>
      <w:r>
        <w:rPr>
          <w:rFonts w:hint="eastAsia" w:ascii="宋体" w:hAnsi="宋体" w:cs="宋体"/>
          <w:bCs/>
          <w:spacing w:val="6"/>
          <w:szCs w:val="21"/>
          <w:lang w:eastAsia="zh-CN"/>
        </w:rPr>
        <w:t>.</w:t>
      </w:r>
      <w:r>
        <w:rPr>
          <w:rFonts w:hint="eastAsia" w:ascii="宋体" w:hAnsi="宋体" w:cs="宋体"/>
          <w:bCs/>
          <w:spacing w:val="6"/>
          <w:szCs w:val="21"/>
        </w:rPr>
        <w:t>现场机构应设项目负责人1人，拟投入本项目人员（含项目负责人）不得少于2人。</w:t>
      </w:r>
    </w:p>
    <w:p>
      <w:pPr>
        <w:spacing w:line="360" w:lineRule="auto"/>
        <w:ind w:firstLine="444" w:firstLineChars="200"/>
        <w:rPr>
          <w:rFonts w:ascii="宋体" w:hAnsi="宋体" w:cs="宋体"/>
          <w:bCs/>
          <w:spacing w:val="6"/>
          <w:szCs w:val="21"/>
        </w:rPr>
      </w:pPr>
      <w:r>
        <w:rPr>
          <w:rFonts w:hint="eastAsia" w:ascii="宋体" w:hAnsi="宋体" w:cs="宋体"/>
          <w:bCs/>
          <w:spacing w:val="6"/>
          <w:szCs w:val="21"/>
        </w:rPr>
        <w:t>2</w:t>
      </w:r>
      <w:r>
        <w:rPr>
          <w:rFonts w:hint="eastAsia" w:ascii="宋体" w:hAnsi="宋体" w:cs="宋体"/>
          <w:bCs/>
          <w:spacing w:val="6"/>
          <w:szCs w:val="21"/>
          <w:lang w:eastAsia="zh-CN"/>
        </w:rPr>
        <w:t>.</w:t>
      </w:r>
      <w:r>
        <w:rPr>
          <w:rFonts w:hint="eastAsia" w:ascii="宋体" w:hAnsi="宋体" w:cs="宋体"/>
          <w:bCs/>
          <w:spacing w:val="6"/>
          <w:szCs w:val="21"/>
        </w:rPr>
        <w:t>人员必须及时到位，不得随意更换或退场。需更换的必须书面报招标人审批和备案。未经招标人同意随意更换主要人员，招标人有权按违约处理。</w:t>
      </w:r>
    </w:p>
    <w:p>
      <w:pPr>
        <w:spacing w:line="360" w:lineRule="auto"/>
        <w:ind w:firstLine="444" w:firstLineChars="200"/>
        <w:rPr>
          <w:rFonts w:ascii="宋体" w:hAnsi="宋体" w:cs="宋体"/>
          <w:bCs/>
          <w:spacing w:val="6"/>
          <w:szCs w:val="21"/>
        </w:rPr>
      </w:pPr>
      <w:r>
        <w:rPr>
          <w:rFonts w:hint="eastAsia" w:ascii="宋体" w:hAnsi="宋体" w:cs="宋体"/>
          <w:bCs/>
          <w:spacing w:val="6"/>
          <w:szCs w:val="21"/>
        </w:rPr>
        <w:t>3</w:t>
      </w:r>
      <w:r>
        <w:rPr>
          <w:rFonts w:hint="eastAsia" w:ascii="宋体" w:hAnsi="宋体" w:cs="宋体"/>
          <w:bCs/>
          <w:spacing w:val="6"/>
          <w:szCs w:val="21"/>
          <w:lang w:eastAsia="zh-CN"/>
        </w:rPr>
        <w:t>.</w:t>
      </w:r>
      <w:r>
        <w:rPr>
          <w:rFonts w:hint="eastAsia" w:ascii="宋体" w:hAnsi="宋体" w:cs="宋体"/>
          <w:bCs/>
          <w:spacing w:val="6"/>
          <w:szCs w:val="21"/>
        </w:rPr>
        <w:t>对工作严重失职、业务能力不能满足工作需要的人员，招标人有权要求更换。</w:t>
      </w:r>
    </w:p>
    <w:p>
      <w:pPr>
        <w:spacing w:line="360" w:lineRule="auto"/>
        <w:ind w:firstLine="444" w:firstLineChars="200"/>
        <w:rPr>
          <w:rFonts w:hint="eastAsia" w:ascii="宋体" w:hAnsi="宋体" w:cs="宋体"/>
          <w:bCs/>
          <w:spacing w:val="6"/>
          <w:szCs w:val="21"/>
        </w:rPr>
      </w:pPr>
      <w:r>
        <w:rPr>
          <w:rFonts w:hint="eastAsia" w:ascii="宋体" w:hAnsi="宋体" w:cs="宋体"/>
          <w:bCs/>
          <w:spacing w:val="6"/>
          <w:szCs w:val="21"/>
        </w:rPr>
        <w:t>4</w:t>
      </w:r>
      <w:r>
        <w:rPr>
          <w:rFonts w:hint="eastAsia" w:ascii="宋体" w:hAnsi="宋体" w:cs="宋体"/>
          <w:bCs/>
          <w:spacing w:val="6"/>
          <w:szCs w:val="21"/>
          <w:lang w:eastAsia="zh-CN"/>
        </w:rPr>
        <w:t>.</w:t>
      </w:r>
      <w:r>
        <w:rPr>
          <w:rFonts w:hint="eastAsia" w:ascii="宋体" w:hAnsi="宋体" w:cs="宋体"/>
          <w:bCs/>
          <w:spacing w:val="6"/>
          <w:szCs w:val="21"/>
        </w:rPr>
        <w:t>替换人员的资质不得低于招标文件要求，其业务能力应满足相应的岗位职责和工作需要。</w:t>
      </w:r>
    </w:p>
    <w:p>
      <w:pPr>
        <w:spacing w:line="360" w:lineRule="auto"/>
        <w:jc w:val="center"/>
        <w:rPr>
          <w:rFonts w:hint="eastAsia" w:ascii="宋体" w:hAnsi="宋体" w:cs="宋体"/>
          <w:b/>
          <w:spacing w:val="6"/>
          <w:szCs w:val="21"/>
        </w:rPr>
      </w:pPr>
      <w:r>
        <w:rPr>
          <w:rFonts w:hint="eastAsia" w:ascii="宋体" w:hAnsi="宋体" w:cs="宋体"/>
          <w:b/>
          <w:spacing w:val="6"/>
          <w:szCs w:val="21"/>
        </w:rPr>
        <w:t>《收费标准表》</w:t>
      </w:r>
    </w:p>
    <w:p>
      <w:pPr>
        <w:spacing w:line="580" w:lineRule="exact"/>
        <w:ind w:firstLine="413" w:firstLineChars="196"/>
        <w:jc w:val="right"/>
        <w:rPr>
          <w:rFonts w:ascii="宋体" w:hAnsi="宋体" w:cs="宋体"/>
          <w:b/>
          <w:sz w:val="32"/>
          <w:szCs w:val="32"/>
        </w:rPr>
      </w:pPr>
      <w:r>
        <w:rPr>
          <w:rFonts w:hint="eastAsia" w:ascii="宋体" w:hAnsi="宋体" w:cs="宋体"/>
          <w:b/>
          <w:bCs/>
        </w:rPr>
        <w:t>费率：  ‰</w:t>
      </w:r>
    </w:p>
    <w:tbl>
      <w:tblPr>
        <w:tblStyle w:val="9"/>
        <w:tblW w:w="5512" w:type="pct"/>
        <w:tblInd w:w="-4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3"/>
        <w:gridCol w:w="344"/>
        <w:gridCol w:w="877"/>
        <w:gridCol w:w="459"/>
        <w:gridCol w:w="483"/>
        <w:gridCol w:w="555"/>
        <w:gridCol w:w="9"/>
        <w:gridCol w:w="274"/>
        <w:gridCol w:w="290"/>
        <w:gridCol w:w="283"/>
        <w:gridCol w:w="333"/>
        <w:gridCol w:w="333"/>
        <w:gridCol w:w="333"/>
        <w:gridCol w:w="395"/>
        <w:gridCol w:w="21"/>
        <w:gridCol w:w="415"/>
        <w:gridCol w:w="3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9" w:type="pct"/>
            <w:vMerge w:val="restar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序号</w:t>
            </w:r>
          </w:p>
        </w:tc>
        <w:tc>
          <w:tcPr>
            <w:tcW w:w="681" w:type="pct"/>
            <w:gridSpan w:val="2"/>
            <w:vMerge w:val="restart"/>
            <w:noWrap w:val="0"/>
            <w:vAlign w:val="center"/>
          </w:tcPr>
          <w:p>
            <w:pPr>
              <w:adjustRightInd w:val="0"/>
              <w:snapToGrid w:val="0"/>
              <w:spacing w:line="216" w:lineRule="auto"/>
              <w:ind w:left="-1386" w:leftChars="-660" w:firstLine="1391" w:firstLineChars="866"/>
              <w:jc w:val="center"/>
              <w:rPr>
                <w:rFonts w:ascii="宋体" w:hAnsi="宋体" w:cs="宋体"/>
                <w:b/>
                <w:bCs/>
                <w:sz w:val="16"/>
                <w:szCs w:val="16"/>
              </w:rPr>
            </w:pPr>
            <w:r>
              <w:rPr>
                <w:rFonts w:hint="eastAsia" w:ascii="宋体" w:hAnsi="宋体" w:cs="宋体"/>
                <w:b/>
                <w:bCs/>
                <w:sz w:val="16"/>
                <w:szCs w:val="16"/>
              </w:rPr>
              <w:t>咨询项目</w:t>
            </w:r>
          </w:p>
        </w:tc>
        <w:tc>
          <w:tcPr>
            <w:tcW w:w="258" w:type="pct"/>
            <w:vMerge w:val="restar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收费</w:t>
            </w:r>
          </w:p>
          <w:p>
            <w:pPr>
              <w:adjustRightInd w:val="0"/>
              <w:snapToGrid w:val="0"/>
              <w:spacing w:line="216" w:lineRule="auto"/>
              <w:jc w:val="center"/>
              <w:rPr>
                <w:rFonts w:ascii="宋体" w:hAnsi="宋体" w:cs="宋体"/>
                <w:bCs/>
                <w:sz w:val="16"/>
                <w:szCs w:val="16"/>
              </w:rPr>
            </w:pPr>
            <w:r>
              <w:rPr>
                <w:rFonts w:hint="eastAsia" w:ascii="宋体" w:hAnsi="宋体" w:cs="宋体"/>
                <w:b/>
                <w:bCs/>
                <w:sz w:val="16"/>
                <w:szCs w:val="16"/>
              </w:rPr>
              <w:t>基础</w:t>
            </w:r>
          </w:p>
        </w:tc>
        <w:tc>
          <w:tcPr>
            <w:tcW w:w="581" w:type="pct"/>
            <w:gridSpan w:val="2"/>
            <w:vMerge w:val="restar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工程类型</w:t>
            </w:r>
          </w:p>
        </w:tc>
        <w:tc>
          <w:tcPr>
            <w:tcW w:w="1411" w:type="pct"/>
            <w:gridSpan w:val="10"/>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单位工程金额(万元)</w:t>
            </w:r>
          </w:p>
        </w:tc>
        <w:tc>
          <w:tcPr>
            <w:tcW w:w="1818" w:type="pct"/>
            <w:vMerge w:val="restar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249" w:type="pct"/>
            <w:vMerge w:val="continue"/>
            <w:noWrap w:val="0"/>
            <w:vAlign w:val="center"/>
          </w:tcPr>
          <w:p>
            <w:pPr>
              <w:adjustRightInd w:val="0"/>
              <w:snapToGrid w:val="0"/>
              <w:spacing w:line="216" w:lineRule="auto"/>
              <w:jc w:val="center"/>
              <w:rPr>
                <w:rFonts w:ascii="宋体" w:hAnsi="宋体" w:cs="宋体"/>
                <w:bCs/>
                <w:sz w:val="16"/>
                <w:szCs w:val="16"/>
              </w:rPr>
            </w:pPr>
          </w:p>
        </w:tc>
        <w:tc>
          <w:tcPr>
            <w:tcW w:w="681" w:type="pct"/>
            <w:gridSpan w:val="2"/>
            <w:vMerge w:val="continue"/>
            <w:noWrap w:val="0"/>
            <w:vAlign w:val="center"/>
          </w:tcPr>
          <w:p>
            <w:pPr>
              <w:adjustRightInd w:val="0"/>
              <w:snapToGrid w:val="0"/>
              <w:spacing w:line="216" w:lineRule="auto"/>
              <w:jc w:val="center"/>
              <w:rPr>
                <w:rFonts w:ascii="宋体" w:hAnsi="宋体" w:cs="宋体"/>
                <w:bCs/>
                <w:sz w:val="16"/>
                <w:szCs w:val="16"/>
              </w:rPr>
            </w:pPr>
          </w:p>
        </w:tc>
        <w:tc>
          <w:tcPr>
            <w:tcW w:w="258" w:type="pct"/>
            <w:vMerge w:val="continue"/>
            <w:noWrap w:val="0"/>
            <w:vAlign w:val="center"/>
          </w:tcPr>
          <w:p>
            <w:pPr>
              <w:adjustRightInd w:val="0"/>
              <w:snapToGrid w:val="0"/>
              <w:spacing w:line="216" w:lineRule="auto"/>
              <w:jc w:val="center"/>
              <w:rPr>
                <w:rFonts w:ascii="宋体" w:hAnsi="宋体" w:cs="宋体"/>
                <w:bCs/>
                <w:sz w:val="16"/>
                <w:szCs w:val="16"/>
              </w:rPr>
            </w:pPr>
          </w:p>
        </w:tc>
        <w:tc>
          <w:tcPr>
            <w:tcW w:w="581" w:type="pct"/>
            <w:gridSpan w:val="2"/>
            <w:vMerge w:val="continue"/>
            <w:noWrap w:val="0"/>
            <w:vAlign w:val="center"/>
          </w:tcPr>
          <w:p>
            <w:pPr>
              <w:adjustRightInd w:val="0"/>
              <w:snapToGrid w:val="0"/>
              <w:spacing w:line="216" w:lineRule="auto"/>
              <w:jc w:val="center"/>
              <w:rPr>
                <w:rFonts w:ascii="宋体" w:hAnsi="宋体" w:cs="宋体"/>
                <w:bCs/>
                <w:sz w:val="16"/>
                <w:szCs w:val="16"/>
              </w:rPr>
            </w:pPr>
          </w:p>
        </w:tc>
        <w:tc>
          <w:tcPr>
            <w:tcW w:w="162" w:type="pct"/>
            <w:gridSpan w:val="2"/>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100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165"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200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162"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500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167"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1000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167"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2000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167"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5000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207" w:type="pct"/>
            <w:gridSpan w:val="2"/>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10000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以内</w:t>
            </w:r>
          </w:p>
        </w:tc>
        <w:tc>
          <w:tcPr>
            <w:tcW w:w="213" w:type="pct"/>
            <w:noWrap w:val="0"/>
            <w:vAlign w:val="center"/>
          </w:tcPr>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10000</w:t>
            </w:r>
          </w:p>
          <w:p>
            <w:pPr>
              <w:adjustRightInd w:val="0"/>
              <w:snapToGrid w:val="0"/>
              <w:spacing w:line="216" w:lineRule="auto"/>
              <w:jc w:val="center"/>
              <w:rPr>
                <w:rFonts w:ascii="宋体" w:hAnsi="宋体" w:cs="宋体"/>
                <w:b/>
                <w:bCs/>
                <w:sz w:val="16"/>
                <w:szCs w:val="16"/>
              </w:rPr>
            </w:pPr>
            <w:r>
              <w:rPr>
                <w:rFonts w:hint="eastAsia" w:ascii="宋体" w:hAnsi="宋体" w:cs="宋体"/>
                <w:b/>
                <w:bCs/>
                <w:sz w:val="16"/>
                <w:szCs w:val="16"/>
              </w:rPr>
              <w:t>以上</w:t>
            </w:r>
          </w:p>
        </w:tc>
        <w:tc>
          <w:tcPr>
            <w:tcW w:w="1818" w:type="pct"/>
            <w:vMerge w:val="continue"/>
            <w:noWrap w:val="0"/>
            <w:vAlign w:val="center"/>
          </w:tcPr>
          <w:p>
            <w:pPr>
              <w:adjustRightInd w:val="0"/>
              <w:snapToGrid w:val="0"/>
              <w:spacing w:line="216" w:lineRule="auto"/>
              <w:jc w:val="center"/>
              <w:rPr>
                <w:rFonts w:ascii="宋体" w:hAnsi="宋体" w:cs="宋体"/>
                <w:bCs/>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一</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可行性项目投资估算</w:t>
            </w:r>
          </w:p>
        </w:tc>
        <w:tc>
          <w:tcPr>
            <w:tcW w:w="258"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估算价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p>
        </w:tc>
        <w:tc>
          <w:tcPr>
            <w:tcW w:w="162" w:type="pct"/>
            <w:gridSpan w:val="2"/>
            <w:noWrap w:val="0"/>
            <w:vAlign w:val="center"/>
          </w:tcPr>
          <w:p>
            <w:pPr>
              <w:adjustRightInd w:val="0"/>
              <w:snapToGrid w:val="0"/>
              <w:spacing w:line="216" w:lineRule="auto"/>
              <w:jc w:val="center"/>
              <w:rPr>
                <w:rFonts w:ascii="宋体" w:hAnsi="宋体" w:cs="宋体"/>
                <w:bCs/>
                <w:sz w:val="18"/>
                <w:szCs w:val="18"/>
              </w:rPr>
            </w:pPr>
          </w:p>
        </w:tc>
        <w:tc>
          <w:tcPr>
            <w:tcW w:w="165" w:type="pct"/>
            <w:noWrap w:val="0"/>
            <w:vAlign w:val="center"/>
          </w:tcPr>
          <w:p>
            <w:pPr>
              <w:adjustRightInd w:val="0"/>
              <w:snapToGrid w:val="0"/>
              <w:spacing w:line="216" w:lineRule="auto"/>
              <w:jc w:val="center"/>
              <w:rPr>
                <w:rFonts w:ascii="宋体" w:hAnsi="宋体" w:cs="宋体"/>
                <w:bCs/>
                <w:sz w:val="18"/>
                <w:szCs w:val="18"/>
              </w:rPr>
            </w:pP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1.7</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1.5</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1.1</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0.9</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0.7</w:t>
            </w:r>
          </w:p>
        </w:tc>
        <w:tc>
          <w:tcPr>
            <w:tcW w:w="1818" w:type="pct"/>
            <w:vMerge w:val="restart"/>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调查、收集资料，完成和出具投资估算或可行性经济评价报告。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二</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项目经济评价</w:t>
            </w:r>
          </w:p>
        </w:tc>
        <w:tc>
          <w:tcPr>
            <w:tcW w:w="258"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评估价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p>
        </w:tc>
        <w:tc>
          <w:tcPr>
            <w:tcW w:w="162" w:type="pct"/>
            <w:gridSpan w:val="2"/>
            <w:noWrap w:val="0"/>
            <w:vAlign w:val="center"/>
          </w:tcPr>
          <w:p>
            <w:pPr>
              <w:adjustRightInd w:val="0"/>
              <w:snapToGrid w:val="0"/>
              <w:spacing w:line="216" w:lineRule="auto"/>
              <w:jc w:val="center"/>
              <w:rPr>
                <w:rFonts w:ascii="宋体" w:hAnsi="宋体" w:cs="宋体"/>
                <w:bCs/>
                <w:sz w:val="18"/>
                <w:szCs w:val="18"/>
              </w:rPr>
            </w:pPr>
          </w:p>
        </w:tc>
        <w:tc>
          <w:tcPr>
            <w:tcW w:w="165" w:type="pct"/>
            <w:noWrap w:val="0"/>
            <w:vAlign w:val="center"/>
          </w:tcPr>
          <w:p>
            <w:pPr>
              <w:adjustRightInd w:val="0"/>
              <w:snapToGrid w:val="0"/>
              <w:spacing w:line="216" w:lineRule="auto"/>
              <w:jc w:val="center"/>
              <w:rPr>
                <w:rFonts w:ascii="宋体" w:hAnsi="宋体" w:cs="宋体"/>
                <w:bCs/>
                <w:sz w:val="18"/>
                <w:szCs w:val="18"/>
              </w:rPr>
            </w:pP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0.8</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三</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工程项目设计概算</w:t>
            </w:r>
          </w:p>
        </w:tc>
        <w:tc>
          <w:tcPr>
            <w:tcW w:w="258"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概算价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p>
        </w:tc>
        <w:tc>
          <w:tcPr>
            <w:tcW w:w="162" w:type="pct"/>
            <w:gridSpan w:val="2"/>
            <w:noWrap w:val="0"/>
            <w:vAlign w:val="center"/>
          </w:tcPr>
          <w:p>
            <w:pPr>
              <w:adjustRightInd w:val="0"/>
              <w:snapToGrid w:val="0"/>
              <w:spacing w:line="216" w:lineRule="auto"/>
              <w:jc w:val="center"/>
              <w:rPr>
                <w:rFonts w:ascii="宋体" w:hAnsi="宋体" w:cs="宋体"/>
                <w:bCs/>
                <w:sz w:val="18"/>
                <w:szCs w:val="18"/>
              </w:rPr>
            </w:pPr>
          </w:p>
        </w:tc>
        <w:tc>
          <w:tcPr>
            <w:tcW w:w="165" w:type="pct"/>
            <w:noWrap w:val="0"/>
            <w:vAlign w:val="center"/>
          </w:tcPr>
          <w:p>
            <w:pPr>
              <w:adjustRightInd w:val="0"/>
              <w:snapToGrid w:val="0"/>
              <w:spacing w:line="216" w:lineRule="auto"/>
              <w:jc w:val="center"/>
              <w:rPr>
                <w:rFonts w:ascii="宋体" w:hAnsi="宋体" w:cs="宋体"/>
                <w:bCs/>
                <w:sz w:val="18"/>
                <w:szCs w:val="18"/>
              </w:rPr>
            </w:pP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w:t>
            </w:r>
          </w:p>
        </w:tc>
        <w:tc>
          <w:tcPr>
            <w:tcW w:w="1818" w:type="pct"/>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收集资料，根据初步设计图计算或复核工程量进行工料分析，出具工程概算书或审核报告。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249"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四</w:t>
            </w:r>
          </w:p>
        </w:tc>
        <w:tc>
          <w:tcPr>
            <w:tcW w:w="195"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定</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额</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计</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价</w:t>
            </w: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工程预算、结算、标底编制</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造价</w:t>
            </w:r>
          </w:p>
        </w:tc>
        <w:tc>
          <w:tcPr>
            <w:tcW w:w="581" w:type="pct"/>
            <w:gridSpan w:val="2"/>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3.6</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3.2</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2.5</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2.3</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1.9</w:t>
            </w:r>
          </w:p>
        </w:tc>
        <w:tc>
          <w:tcPr>
            <w:tcW w:w="1818" w:type="pct"/>
            <w:vMerge w:val="restart"/>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收集资料，根据施工图或施工技术规范计算工程量，进行工料分析，</w:t>
            </w:r>
          </w:p>
          <w:p>
            <w:pPr>
              <w:adjustRightInd w:val="0"/>
              <w:snapToGrid w:val="0"/>
              <w:spacing w:line="216" w:lineRule="auto"/>
              <w:rPr>
                <w:rFonts w:ascii="宋体" w:hAnsi="宋体" w:cs="宋体"/>
                <w:bCs/>
                <w:sz w:val="18"/>
                <w:szCs w:val="18"/>
              </w:rPr>
            </w:pPr>
            <w:r>
              <w:rPr>
                <w:rFonts w:hint="eastAsia" w:ascii="宋体" w:hAnsi="宋体" w:cs="宋体"/>
                <w:bCs/>
                <w:sz w:val="18"/>
                <w:szCs w:val="18"/>
              </w:rPr>
              <w:t>完成计价，出具工程预算书或工程结算书。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4.2</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3.8</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3.0</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2.4</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2.2</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2.0</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 w:hRule="atLeast"/>
        </w:trPr>
        <w:tc>
          <w:tcPr>
            <w:tcW w:w="249"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五</w:t>
            </w: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工程预算、结算、标底审核</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造价</w:t>
            </w:r>
          </w:p>
        </w:tc>
        <w:tc>
          <w:tcPr>
            <w:tcW w:w="271"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基本收费</w:t>
            </w:r>
          </w:p>
        </w:tc>
        <w:tc>
          <w:tcPr>
            <w:tcW w:w="310"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3.0</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2.6</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1.0</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0.9</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271" w:type="pct"/>
            <w:vMerge w:val="continue"/>
            <w:noWrap w:val="0"/>
            <w:vAlign w:val="center"/>
          </w:tcPr>
          <w:p>
            <w:pPr>
              <w:adjustRightInd w:val="0"/>
              <w:snapToGrid w:val="0"/>
              <w:spacing w:line="216" w:lineRule="auto"/>
              <w:jc w:val="center"/>
              <w:rPr>
                <w:rFonts w:ascii="宋体" w:hAnsi="宋体" w:cs="宋体"/>
                <w:bCs/>
                <w:sz w:val="18"/>
                <w:szCs w:val="18"/>
              </w:rPr>
            </w:pPr>
          </w:p>
        </w:tc>
        <w:tc>
          <w:tcPr>
            <w:tcW w:w="310"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3.2</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2.8</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1.0</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(2)审核增减额</w:t>
            </w:r>
          </w:p>
        </w:tc>
        <w:tc>
          <w:tcPr>
            <w:tcW w:w="1411" w:type="pct"/>
            <w:gridSpan w:val="10"/>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5%</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rPr>
        <w:tc>
          <w:tcPr>
            <w:tcW w:w="249"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六</w:t>
            </w:r>
          </w:p>
        </w:tc>
        <w:tc>
          <w:tcPr>
            <w:tcW w:w="195"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清</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单</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计</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价</w:t>
            </w: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工程量清单编制</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中标价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4.8</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4.3</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3.0</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2.8</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2.5</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2.3</w:t>
            </w:r>
          </w:p>
        </w:tc>
        <w:tc>
          <w:tcPr>
            <w:tcW w:w="1818" w:type="pct"/>
            <w:vMerge w:val="restart"/>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1、工程量清单编制。根据“计价规范”及施工图编制拟建工程的分部分项项目、措施项目、项目编码、项目名称、单位和相应数量明细清单；</w:t>
            </w:r>
          </w:p>
          <w:p>
            <w:pPr>
              <w:adjustRightInd w:val="0"/>
              <w:snapToGrid w:val="0"/>
              <w:spacing w:line="216" w:lineRule="auto"/>
              <w:rPr>
                <w:rFonts w:ascii="宋体" w:hAnsi="宋体" w:cs="宋体"/>
                <w:bCs/>
                <w:sz w:val="18"/>
                <w:szCs w:val="18"/>
              </w:rPr>
            </w:pPr>
            <w:r>
              <w:rPr>
                <w:rFonts w:hint="eastAsia" w:ascii="宋体" w:hAnsi="宋体" w:cs="宋体"/>
                <w:bCs/>
                <w:sz w:val="18"/>
                <w:szCs w:val="18"/>
              </w:rPr>
              <w:t>2、控制价(标底价)应根据招标文件及提供的工程量清单，进行分部分项综合单价分析、措施项目费分析，各项合价、总价等，完成工程量清单所需的全部费用；</w:t>
            </w:r>
          </w:p>
          <w:p>
            <w:pPr>
              <w:adjustRightInd w:val="0"/>
              <w:snapToGrid w:val="0"/>
              <w:spacing w:line="216" w:lineRule="auto"/>
              <w:rPr>
                <w:rFonts w:ascii="宋体" w:hAnsi="宋体" w:cs="宋体"/>
                <w:bCs/>
                <w:sz w:val="18"/>
                <w:szCs w:val="18"/>
              </w:rPr>
            </w:pPr>
            <w:r>
              <w:rPr>
                <w:rFonts w:hint="eastAsia" w:ascii="宋体" w:hAnsi="宋体" w:cs="宋体"/>
                <w:bCs/>
                <w:sz w:val="18"/>
                <w:szCs w:val="18"/>
              </w:rPr>
              <w:t>3、工程结算编制，根据合同条款及投标报价、工程实施过程是发生的设计变更、现场签证、材料、设备的价格变化及建筑经济政策的变化进行编制；</w:t>
            </w:r>
          </w:p>
          <w:p>
            <w:pPr>
              <w:adjustRightInd w:val="0"/>
              <w:snapToGrid w:val="0"/>
              <w:spacing w:line="216" w:lineRule="auto"/>
              <w:rPr>
                <w:rFonts w:ascii="宋体" w:hAnsi="宋体" w:cs="宋体"/>
                <w:bCs/>
                <w:sz w:val="18"/>
                <w:szCs w:val="18"/>
              </w:rPr>
            </w:pPr>
            <w:r>
              <w:rPr>
                <w:rFonts w:hint="eastAsia" w:ascii="宋体" w:hAnsi="宋体" w:cs="宋体"/>
                <w:bCs/>
                <w:sz w:val="18"/>
                <w:szCs w:val="18"/>
              </w:rPr>
              <w:t>4、工程结算审核，可提供的工程结算资料，特别是综合单价的分析、设计变更及经济签证进行其真实性、合理性审核；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5.0</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4.6</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4.0</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3.1</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2.9</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2.6</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2.4</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控制价(标底价)</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中标价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2.0</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1.8</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1.1</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1.0</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1.9</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1.7</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1.3</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1.2</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1.1</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工程结算编制</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造价</w:t>
            </w: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3.0</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2.6</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1.2</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1.0</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0.9</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3.2</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2.8</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1.4</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1.2</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1.0</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工程量清单</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结算审核</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送审</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造价</w:t>
            </w:r>
          </w:p>
        </w:tc>
        <w:tc>
          <w:tcPr>
            <w:tcW w:w="271"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基本收费</w:t>
            </w:r>
          </w:p>
        </w:tc>
        <w:tc>
          <w:tcPr>
            <w:tcW w:w="310"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3.4</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3.1</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2.7</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2.4</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1.9</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1.8</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1.6</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271" w:type="pct"/>
            <w:vMerge w:val="continue"/>
            <w:noWrap w:val="0"/>
            <w:vAlign w:val="center"/>
          </w:tcPr>
          <w:p>
            <w:pPr>
              <w:adjustRightInd w:val="0"/>
              <w:snapToGrid w:val="0"/>
              <w:spacing w:line="216" w:lineRule="auto"/>
              <w:jc w:val="center"/>
              <w:rPr>
                <w:rFonts w:ascii="宋体" w:hAnsi="宋体" w:cs="宋体"/>
                <w:bCs/>
                <w:sz w:val="18"/>
                <w:szCs w:val="18"/>
              </w:rPr>
            </w:pPr>
          </w:p>
        </w:tc>
        <w:tc>
          <w:tcPr>
            <w:tcW w:w="310"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162"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3.6</w:t>
            </w:r>
          </w:p>
        </w:tc>
        <w:tc>
          <w:tcPr>
            <w:tcW w:w="165"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3.2</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2.6</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2.3</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2.1</w:t>
            </w:r>
          </w:p>
        </w:tc>
        <w:tc>
          <w:tcPr>
            <w:tcW w:w="197"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1.9</w:t>
            </w:r>
          </w:p>
        </w:tc>
        <w:tc>
          <w:tcPr>
            <w:tcW w:w="222"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1.8</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195" w:type="pct"/>
            <w:vMerge w:val="continue"/>
            <w:noWrap w:val="0"/>
            <w:vAlign w:val="center"/>
          </w:tcPr>
          <w:p>
            <w:pPr>
              <w:adjustRightInd w:val="0"/>
              <w:snapToGrid w:val="0"/>
              <w:spacing w:line="216" w:lineRule="auto"/>
              <w:jc w:val="center"/>
              <w:rPr>
                <w:rFonts w:ascii="宋体" w:hAnsi="宋体" w:cs="宋体"/>
                <w:bCs/>
                <w:sz w:val="18"/>
                <w:szCs w:val="18"/>
              </w:rPr>
            </w:pPr>
          </w:p>
        </w:tc>
        <w:tc>
          <w:tcPr>
            <w:tcW w:w="486" w:type="pct"/>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1" w:type="pct"/>
            <w:gridSpan w:val="2"/>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(2)审核增减额</w:t>
            </w:r>
          </w:p>
        </w:tc>
        <w:tc>
          <w:tcPr>
            <w:tcW w:w="1411" w:type="pct"/>
            <w:gridSpan w:val="10"/>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5%</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49"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七</w:t>
            </w:r>
          </w:p>
        </w:tc>
        <w:tc>
          <w:tcPr>
            <w:tcW w:w="681" w:type="pct"/>
            <w:gridSpan w:val="2"/>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施工阶段全过程工程造价控制</w:t>
            </w:r>
          </w:p>
        </w:tc>
        <w:tc>
          <w:tcPr>
            <w:tcW w:w="258" w:type="pct"/>
            <w:vMerge w:val="restar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造价</w:t>
            </w:r>
          </w:p>
        </w:tc>
        <w:tc>
          <w:tcPr>
            <w:tcW w:w="585" w:type="pct"/>
            <w:gridSpan w:val="3"/>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建筑工程</w:t>
            </w:r>
          </w:p>
        </w:tc>
        <w:tc>
          <w:tcPr>
            <w:tcW w:w="323" w:type="pct"/>
            <w:gridSpan w:val="2"/>
            <w:noWrap w:val="0"/>
            <w:vAlign w:val="center"/>
          </w:tcPr>
          <w:p>
            <w:pPr>
              <w:adjustRightInd w:val="0"/>
              <w:snapToGrid w:val="0"/>
              <w:spacing w:line="216" w:lineRule="auto"/>
              <w:ind w:left="-16" w:leftChars="-51" w:hanging="91" w:hangingChars="51"/>
              <w:jc w:val="center"/>
              <w:rPr>
                <w:rFonts w:ascii="宋体" w:hAnsi="宋体" w:cs="宋体"/>
                <w:bCs/>
                <w:sz w:val="18"/>
                <w:szCs w:val="18"/>
              </w:rPr>
            </w:pPr>
            <w:r>
              <w:rPr>
                <w:rFonts w:hint="eastAsia" w:ascii="宋体" w:hAnsi="宋体" w:cs="宋体"/>
                <w:bCs/>
                <w:sz w:val="18"/>
                <w:szCs w:val="18"/>
              </w:rPr>
              <w:t>面议</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10</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9</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8</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7</w:t>
            </w:r>
          </w:p>
        </w:tc>
        <w:tc>
          <w:tcPr>
            <w:tcW w:w="207" w:type="pct"/>
            <w:gridSpan w:val="2"/>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6</w:t>
            </w:r>
          </w:p>
        </w:tc>
        <w:tc>
          <w:tcPr>
            <w:tcW w:w="213" w:type="pct"/>
            <w:noWrap w:val="0"/>
            <w:vAlign w:val="center"/>
          </w:tcPr>
          <w:p>
            <w:pPr>
              <w:adjustRightInd w:val="0"/>
              <w:snapToGrid w:val="0"/>
              <w:spacing w:line="216" w:lineRule="auto"/>
              <w:ind w:left="270" w:hanging="270" w:hangingChars="150"/>
              <w:jc w:val="center"/>
              <w:rPr>
                <w:rFonts w:ascii="宋体" w:hAnsi="宋体" w:cs="宋体"/>
                <w:bCs/>
                <w:sz w:val="18"/>
                <w:szCs w:val="18"/>
              </w:rPr>
            </w:pPr>
            <w:r>
              <w:rPr>
                <w:rFonts w:hint="eastAsia" w:ascii="宋体" w:hAnsi="宋体" w:cs="宋体"/>
                <w:bCs/>
                <w:sz w:val="18"/>
                <w:szCs w:val="18"/>
              </w:rPr>
              <w:t>5</w:t>
            </w:r>
          </w:p>
        </w:tc>
        <w:tc>
          <w:tcPr>
            <w:tcW w:w="1818" w:type="pct"/>
            <w:vMerge w:val="restart"/>
            <w:noWrap w:val="0"/>
            <w:vAlign w:val="center"/>
          </w:tcPr>
          <w:p>
            <w:pPr>
              <w:numPr>
                <w:ilvl w:val="0"/>
                <w:numId w:val="1"/>
              </w:numPr>
              <w:adjustRightInd w:val="0"/>
              <w:snapToGrid w:val="0"/>
              <w:spacing w:line="216" w:lineRule="auto"/>
              <w:rPr>
                <w:rFonts w:ascii="宋体" w:hAnsi="宋体" w:cs="宋体"/>
                <w:bCs/>
                <w:sz w:val="18"/>
                <w:szCs w:val="18"/>
              </w:rPr>
            </w:pPr>
            <w:r>
              <w:rPr>
                <w:rFonts w:hint="eastAsia" w:ascii="宋体" w:hAnsi="宋体" w:cs="宋体"/>
                <w:bCs/>
                <w:sz w:val="18"/>
                <w:szCs w:val="18"/>
              </w:rPr>
              <w:t>根据施工承包合同价、进度计划，编制工程用款计划书；</w:t>
            </w:r>
          </w:p>
          <w:p>
            <w:pPr>
              <w:numPr>
                <w:ilvl w:val="0"/>
                <w:numId w:val="1"/>
              </w:numPr>
              <w:adjustRightInd w:val="0"/>
              <w:snapToGrid w:val="0"/>
              <w:spacing w:line="216" w:lineRule="auto"/>
              <w:rPr>
                <w:rFonts w:ascii="宋体" w:hAnsi="宋体" w:cs="宋体"/>
                <w:bCs/>
                <w:sz w:val="18"/>
                <w:szCs w:val="18"/>
              </w:rPr>
            </w:pPr>
            <w:r>
              <w:rPr>
                <w:rFonts w:hint="eastAsia" w:ascii="宋体" w:hAnsi="宋体" w:cs="宋体"/>
                <w:bCs/>
                <w:sz w:val="18"/>
                <w:szCs w:val="18"/>
              </w:rPr>
              <w:t>制定造价控制的实施细则，确定控制目标；</w:t>
            </w:r>
          </w:p>
          <w:p>
            <w:pPr>
              <w:numPr>
                <w:ilvl w:val="0"/>
                <w:numId w:val="1"/>
              </w:numPr>
              <w:adjustRightInd w:val="0"/>
              <w:snapToGrid w:val="0"/>
              <w:spacing w:line="216" w:lineRule="auto"/>
              <w:rPr>
                <w:rFonts w:ascii="宋体" w:hAnsi="宋体" w:cs="宋体"/>
                <w:bCs/>
                <w:sz w:val="18"/>
                <w:szCs w:val="18"/>
              </w:rPr>
            </w:pPr>
            <w:r>
              <w:rPr>
                <w:rFonts w:hint="eastAsia" w:ascii="宋体" w:hAnsi="宋体" w:cs="宋体"/>
                <w:bCs/>
                <w:sz w:val="18"/>
                <w:szCs w:val="18"/>
              </w:rPr>
              <w:t>参与工程造价控制的有关会议；</w:t>
            </w:r>
          </w:p>
          <w:p>
            <w:pPr>
              <w:numPr>
                <w:ilvl w:val="0"/>
                <w:numId w:val="1"/>
              </w:numPr>
              <w:adjustRightInd w:val="0"/>
              <w:snapToGrid w:val="0"/>
              <w:spacing w:line="216" w:lineRule="auto"/>
              <w:rPr>
                <w:rFonts w:ascii="宋体" w:hAnsi="宋体" w:cs="宋体"/>
                <w:bCs/>
                <w:sz w:val="18"/>
                <w:szCs w:val="18"/>
              </w:rPr>
            </w:pPr>
            <w:r>
              <w:rPr>
                <w:rFonts w:hint="eastAsia" w:ascii="宋体" w:hAnsi="宋体" w:cs="宋体"/>
                <w:bCs/>
                <w:sz w:val="18"/>
                <w:szCs w:val="18"/>
              </w:rPr>
              <w:t>负责对施工单位上报的已完成工作量月报进行审核，并提供当月付款建议书；</w:t>
            </w:r>
          </w:p>
          <w:p>
            <w:pPr>
              <w:adjustRightInd w:val="0"/>
              <w:snapToGrid w:val="0"/>
              <w:spacing w:line="216" w:lineRule="auto"/>
              <w:rPr>
                <w:rFonts w:ascii="宋体" w:hAnsi="宋体" w:cs="宋体"/>
                <w:bCs/>
                <w:sz w:val="18"/>
                <w:szCs w:val="18"/>
              </w:rPr>
            </w:pPr>
            <w:r>
              <w:rPr>
                <w:rFonts w:hint="eastAsia" w:ascii="宋体" w:hAnsi="宋体" w:cs="宋体"/>
                <w:bCs/>
                <w:sz w:val="18"/>
                <w:szCs w:val="18"/>
              </w:rPr>
              <w:t>5、承、发包双方提出索赔时，为委托方提供咨询意见；</w:t>
            </w:r>
          </w:p>
          <w:p>
            <w:pPr>
              <w:adjustRightInd w:val="0"/>
              <w:snapToGrid w:val="0"/>
              <w:spacing w:line="216" w:lineRule="auto"/>
              <w:rPr>
                <w:rFonts w:ascii="宋体" w:hAnsi="宋体" w:cs="宋体"/>
                <w:bCs/>
                <w:sz w:val="18"/>
                <w:szCs w:val="18"/>
              </w:rPr>
            </w:pPr>
            <w:r>
              <w:rPr>
                <w:rFonts w:hint="eastAsia" w:ascii="宋体" w:hAnsi="宋体" w:cs="宋体"/>
                <w:bCs/>
                <w:sz w:val="18"/>
                <w:szCs w:val="18"/>
              </w:rPr>
              <w:t>6、协助业主及时审核设计变更、现场签证等发生的费用，相应调整造价控制目标；</w:t>
            </w:r>
          </w:p>
          <w:p>
            <w:pPr>
              <w:adjustRightInd w:val="0"/>
              <w:snapToGrid w:val="0"/>
              <w:spacing w:line="216" w:lineRule="auto"/>
              <w:rPr>
                <w:rFonts w:ascii="宋体" w:hAnsi="宋体" w:cs="宋体"/>
                <w:bCs/>
                <w:sz w:val="18"/>
                <w:szCs w:val="18"/>
              </w:rPr>
            </w:pPr>
            <w:r>
              <w:rPr>
                <w:rFonts w:hint="eastAsia" w:ascii="宋体" w:hAnsi="宋体" w:cs="宋体"/>
                <w:bCs/>
                <w:sz w:val="18"/>
                <w:szCs w:val="18"/>
              </w:rPr>
              <w:t>7、及时核定分阶段完工的分部工程结算，提供完整结算报告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249" w:type="pct"/>
            <w:vMerge w:val="continue"/>
            <w:noWrap w:val="0"/>
            <w:vAlign w:val="center"/>
          </w:tcPr>
          <w:p>
            <w:pPr>
              <w:adjustRightInd w:val="0"/>
              <w:snapToGrid w:val="0"/>
              <w:spacing w:line="216" w:lineRule="auto"/>
              <w:jc w:val="center"/>
              <w:rPr>
                <w:rFonts w:ascii="宋体" w:hAnsi="宋体" w:cs="宋体"/>
                <w:bCs/>
                <w:sz w:val="18"/>
                <w:szCs w:val="18"/>
              </w:rPr>
            </w:pPr>
          </w:p>
        </w:tc>
        <w:tc>
          <w:tcPr>
            <w:tcW w:w="681" w:type="pct"/>
            <w:gridSpan w:val="2"/>
            <w:vMerge w:val="continue"/>
            <w:noWrap w:val="0"/>
            <w:vAlign w:val="center"/>
          </w:tcPr>
          <w:p>
            <w:pPr>
              <w:adjustRightInd w:val="0"/>
              <w:snapToGrid w:val="0"/>
              <w:spacing w:line="216" w:lineRule="auto"/>
              <w:jc w:val="center"/>
              <w:rPr>
                <w:rFonts w:ascii="宋体" w:hAnsi="宋体" w:cs="宋体"/>
                <w:bCs/>
                <w:sz w:val="18"/>
                <w:szCs w:val="18"/>
              </w:rPr>
            </w:pPr>
          </w:p>
        </w:tc>
        <w:tc>
          <w:tcPr>
            <w:tcW w:w="258" w:type="pct"/>
            <w:vMerge w:val="continue"/>
            <w:noWrap w:val="0"/>
            <w:vAlign w:val="center"/>
          </w:tcPr>
          <w:p>
            <w:pPr>
              <w:adjustRightInd w:val="0"/>
              <w:snapToGrid w:val="0"/>
              <w:spacing w:line="216" w:lineRule="auto"/>
              <w:jc w:val="center"/>
              <w:rPr>
                <w:rFonts w:ascii="宋体" w:hAnsi="宋体" w:cs="宋体"/>
                <w:bCs/>
                <w:sz w:val="18"/>
                <w:szCs w:val="18"/>
              </w:rPr>
            </w:pPr>
          </w:p>
        </w:tc>
        <w:tc>
          <w:tcPr>
            <w:tcW w:w="585" w:type="pct"/>
            <w:gridSpan w:val="3"/>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安装工程</w:t>
            </w:r>
          </w:p>
        </w:tc>
        <w:tc>
          <w:tcPr>
            <w:tcW w:w="323"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面议</w:t>
            </w:r>
          </w:p>
        </w:tc>
        <w:tc>
          <w:tcPr>
            <w:tcW w:w="162"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11</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10</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9</w:t>
            </w:r>
          </w:p>
        </w:tc>
        <w:tc>
          <w:tcPr>
            <w:tcW w:w="167"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8</w:t>
            </w:r>
          </w:p>
        </w:tc>
        <w:tc>
          <w:tcPr>
            <w:tcW w:w="207"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7</w:t>
            </w:r>
          </w:p>
        </w:tc>
        <w:tc>
          <w:tcPr>
            <w:tcW w:w="213"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6</w:t>
            </w:r>
          </w:p>
        </w:tc>
        <w:tc>
          <w:tcPr>
            <w:tcW w:w="1818" w:type="pct"/>
            <w:vMerge w:val="continue"/>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八</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钢筋及预埋件计算</w:t>
            </w:r>
          </w:p>
        </w:tc>
        <w:tc>
          <w:tcPr>
            <w:tcW w:w="844" w:type="pct"/>
            <w:gridSpan w:val="4"/>
            <w:noWrap w:val="0"/>
            <w:vAlign w:val="center"/>
          </w:tcPr>
          <w:p>
            <w:pPr>
              <w:adjustRightInd w:val="0"/>
              <w:snapToGrid w:val="0"/>
              <w:spacing w:line="216" w:lineRule="auto"/>
              <w:jc w:val="center"/>
              <w:rPr>
                <w:rFonts w:ascii="宋体" w:hAnsi="宋体" w:cs="宋体"/>
                <w:bCs/>
                <w:sz w:val="18"/>
                <w:szCs w:val="18"/>
              </w:rPr>
            </w:pPr>
          </w:p>
        </w:tc>
        <w:tc>
          <w:tcPr>
            <w:tcW w:w="1407" w:type="pct"/>
            <w:gridSpan w:val="9"/>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10元/吨</w:t>
            </w:r>
          </w:p>
        </w:tc>
        <w:tc>
          <w:tcPr>
            <w:tcW w:w="1818" w:type="pct"/>
            <w:noWrap w:val="0"/>
            <w:vAlign w:val="center"/>
          </w:tcPr>
          <w:p>
            <w:pPr>
              <w:adjustRightInd w:val="0"/>
              <w:snapToGrid w:val="0"/>
              <w:spacing w:line="216" w:lineRule="auto"/>
              <w:jc w:val="center"/>
              <w:rPr>
                <w:rFonts w:ascii="宋体" w:hAnsi="宋体" w:cs="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九</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工程经济纠纷案件鉴证</w:t>
            </w:r>
          </w:p>
        </w:tc>
        <w:tc>
          <w:tcPr>
            <w:tcW w:w="258"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涉案</w:t>
            </w:r>
          </w:p>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金额</w:t>
            </w:r>
          </w:p>
        </w:tc>
        <w:tc>
          <w:tcPr>
            <w:tcW w:w="585" w:type="pct"/>
            <w:gridSpan w:val="3"/>
            <w:noWrap w:val="0"/>
            <w:vAlign w:val="center"/>
          </w:tcPr>
          <w:p>
            <w:pPr>
              <w:adjustRightInd w:val="0"/>
              <w:snapToGrid w:val="0"/>
              <w:spacing w:line="216" w:lineRule="auto"/>
              <w:jc w:val="center"/>
              <w:rPr>
                <w:rFonts w:ascii="宋体" w:hAnsi="宋体" w:cs="宋体"/>
                <w:bCs/>
                <w:sz w:val="18"/>
                <w:szCs w:val="18"/>
              </w:rPr>
            </w:pPr>
          </w:p>
        </w:tc>
        <w:tc>
          <w:tcPr>
            <w:tcW w:w="1407" w:type="pct"/>
            <w:gridSpan w:val="9"/>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按涉案金额的10%～3%计算</w:t>
            </w:r>
          </w:p>
        </w:tc>
        <w:tc>
          <w:tcPr>
            <w:tcW w:w="1818" w:type="pct"/>
            <w:noWrap w:val="0"/>
            <w:vAlign w:val="center"/>
          </w:tcPr>
          <w:p>
            <w:pPr>
              <w:adjustRightInd w:val="0"/>
              <w:snapToGrid w:val="0"/>
              <w:spacing w:line="216" w:lineRule="auto"/>
              <w:jc w:val="left"/>
              <w:rPr>
                <w:rFonts w:ascii="宋体" w:hAnsi="宋体" w:cs="宋体"/>
                <w:bCs/>
                <w:sz w:val="18"/>
                <w:szCs w:val="18"/>
              </w:rPr>
            </w:pPr>
            <w:r>
              <w:rPr>
                <w:rFonts w:hint="eastAsia" w:ascii="宋体" w:hAnsi="宋体" w:cs="宋体"/>
                <w:bCs/>
                <w:sz w:val="18"/>
                <w:szCs w:val="18"/>
              </w:rPr>
              <w:t>调查取证，最终做出具体工程造价鉴证结论报告等工作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49" w:type="pct"/>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十</w:t>
            </w:r>
          </w:p>
        </w:tc>
        <w:tc>
          <w:tcPr>
            <w:tcW w:w="681" w:type="pct"/>
            <w:gridSpan w:val="2"/>
            <w:noWrap w:val="0"/>
            <w:vAlign w:val="center"/>
          </w:tcPr>
          <w:p>
            <w:pPr>
              <w:adjustRightInd w:val="0"/>
              <w:snapToGrid w:val="0"/>
              <w:spacing w:line="216" w:lineRule="auto"/>
              <w:jc w:val="center"/>
              <w:rPr>
                <w:rFonts w:ascii="宋体" w:hAnsi="宋体" w:cs="宋体"/>
                <w:bCs/>
                <w:sz w:val="18"/>
                <w:szCs w:val="18"/>
              </w:rPr>
            </w:pPr>
            <w:r>
              <w:rPr>
                <w:rFonts w:hint="eastAsia" w:ascii="宋体" w:hAnsi="宋体" w:cs="宋体"/>
                <w:bCs/>
                <w:sz w:val="18"/>
                <w:szCs w:val="18"/>
              </w:rPr>
              <w:t>计时收费</w:t>
            </w:r>
          </w:p>
        </w:tc>
        <w:tc>
          <w:tcPr>
            <w:tcW w:w="2251" w:type="pct"/>
            <w:gridSpan w:val="13"/>
            <w:noWrap w:val="0"/>
            <w:vAlign w:val="center"/>
          </w:tcPr>
          <w:p>
            <w:pPr>
              <w:adjustRightInd w:val="0"/>
              <w:snapToGrid w:val="0"/>
              <w:spacing w:line="216" w:lineRule="auto"/>
              <w:rPr>
                <w:rFonts w:ascii="宋体" w:hAnsi="宋体" w:cs="宋体"/>
                <w:bCs/>
                <w:sz w:val="18"/>
                <w:szCs w:val="18"/>
              </w:rPr>
            </w:pPr>
            <w:r>
              <w:rPr>
                <w:rFonts w:hint="eastAsia" w:ascii="宋体" w:hAnsi="宋体" w:cs="宋体"/>
                <w:bCs/>
                <w:sz w:val="18"/>
                <w:szCs w:val="18"/>
              </w:rPr>
              <w:t>注册造价师为：200元/人小时  高级职称造价员为：160元/人小时 中级职称造价员为：100元/人小时</w:t>
            </w:r>
          </w:p>
        </w:tc>
        <w:tc>
          <w:tcPr>
            <w:tcW w:w="1818" w:type="pct"/>
            <w:noWrap w:val="0"/>
            <w:vAlign w:val="center"/>
          </w:tcPr>
          <w:p>
            <w:pPr>
              <w:adjustRightInd w:val="0"/>
              <w:snapToGrid w:val="0"/>
              <w:spacing w:line="216" w:lineRule="auto"/>
              <w:jc w:val="center"/>
              <w:rPr>
                <w:rFonts w:ascii="宋体" w:hAnsi="宋体" w:cs="宋体"/>
                <w:bCs/>
                <w:szCs w:val="21"/>
              </w:rPr>
            </w:pPr>
          </w:p>
        </w:tc>
      </w:tr>
    </w:tbl>
    <w:p>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注：1、表中“工程预算、结算、标底审核”和“工程量清单结算审核”项目的计费方式为（1）+（2）。其中审减额向建设单位收取咨询费。凡工程审减率超过10%的，其超过部分咨询费用由施工单位承担，无审核增</w:t>
      </w:r>
      <w:r>
        <w:rPr>
          <w:rFonts w:hint="eastAsia" w:ascii="宋体" w:hAnsi="宋体" w:cs="宋体"/>
          <w:szCs w:val="21"/>
        </w:rPr>
        <w:t>减额</w:t>
      </w:r>
      <w:r>
        <w:rPr>
          <w:rFonts w:hint="eastAsia" w:ascii="宋体" w:hAnsi="宋体" w:cs="宋体"/>
          <w:bCs/>
          <w:szCs w:val="21"/>
        </w:rPr>
        <w:t>的，按基本收费收取。</w:t>
      </w:r>
    </w:p>
    <w:p>
      <w:pPr>
        <w:pStyle w:val="7"/>
        <w:spacing w:before="0" w:after="0" w:line="360" w:lineRule="auto"/>
        <w:rPr>
          <w:rFonts w:ascii="宋体" w:hAnsi="宋体" w:cs="宋体"/>
          <w:bCs w:val="0"/>
          <w:kern w:val="0"/>
          <w:sz w:val="21"/>
          <w:szCs w:val="21"/>
        </w:rPr>
      </w:pPr>
      <w:r>
        <w:rPr>
          <w:rFonts w:hint="eastAsia" w:ascii="宋体" w:hAnsi="宋体" w:cs="宋体"/>
          <w:bCs w:val="0"/>
          <w:kern w:val="0"/>
          <w:sz w:val="21"/>
          <w:szCs w:val="21"/>
        </w:rPr>
        <w:t>五、其他要求</w:t>
      </w:r>
    </w:p>
    <w:p>
      <w:pPr>
        <w:spacing w:line="360" w:lineRule="auto"/>
        <w:ind w:firstLine="420" w:firstLineChars="200"/>
        <w:rPr>
          <w:rFonts w:ascii="宋体" w:hAnsi="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szCs w:val="21"/>
        </w:rPr>
        <w:t>投标人根据本项目特点自行组建项目团队，项目团队人员须按招标人要求时限完成委托任务。</w:t>
      </w:r>
    </w:p>
    <w:p>
      <w:pPr>
        <w:spacing w:line="360" w:lineRule="auto"/>
        <w:ind w:firstLine="420" w:firstLineChars="200"/>
        <w:rPr>
          <w:rFonts w:hint="eastAsia" w:ascii="宋体" w:hAnsi="宋体"/>
          <w:szCs w:val="21"/>
        </w:rPr>
      </w:pPr>
      <w:r>
        <w:rPr>
          <w:rFonts w:hint="eastAsia" w:ascii="宋体" w:hAnsi="宋体" w:cs="宋体"/>
          <w:color w:val="000000"/>
          <w:szCs w:val="21"/>
        </w:rPr>
        <w:t>2.中标人应根据委托的具体事项，拟定参与该项目的人员组成情况，并根据招标人的要求及时安排相关人员</w:t>
      </w:r>
      <w:r>
        <w:rPr>
          <w:rFonts w:hint="eastAsia" w:ascii="宋体" w:hAnsi="宋体"/>
          <w:szCs w:val="21"/>
        </w:rPr>
        <w:t xml:space="preserve">参与项目现场咨询。 </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中标人应根据相关法律法规、制度、政策等依法依规、客观公正开展咨询业务，并遵守保密和回避等相关制度。 </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对在开展咨询业务过程中，中标人若严重违反相关规定和委托要求的，招标人有权解除与中标人的委托关系，给招标人造成经济损失的，招标人有权依法追究赔偿责任。</w:t>
      </w:r>
    </w:p>
    <w:p>
      <w:pPr>
        <w:spacing w:line="360" w:lineRule="auto"/>
        <w:rPr>
          <w:rFonts w:hint="eastAsia"/>
          <w:szCs w:val="21"/>
          <w:highlight w:val="none"/>
        </w:rPr>
      </w:pPr>
      <w:r>
        <w:rPr>
          <w:rFonts w:hint="eastAsia" w:ascii="宋体" w:hAnsi="宋体"/>
          <w:b/>
          <w:bCs/>
          <w:szCs w:val="21"/>
        </w:rPr>
        <w:t>六、付款方式</w:t>
      </w:r>
      <w:bookmarkEnd w:id="0"/>
      <w:bookmarkEnd w:id="1"/>
    </w:p>
    <w:p>
      <w:pPr>
        <w:spacing w:line="360" w:lineRule="auto"/>
        <w:rPr>
          <w:rFonts w:hint="eastAsia" w:ascii="宋体" w:hAnsi="宋体" w:cs="宋体"/>
          <w:b/>
          <w:szCs w:val="21"/>
          <w:highlight w:val="none"/>
        </w:rPr>
      </w:pPr>
      <w:r>
        <w:rPr>
          <w:rFonts w:hint="eastAsia" w:ascii="宋体" w:hAnsi="宋体" w:cs="宋体"/>
          <w:b/>
          <w:szCs w:val="21"/>
          <w:highlight w:val="none"/>
        </w:rPr>
        <w:t>工程量清单控制价编制费用：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w:t>
      </w:r>
      <w:r>
        <w:rPr>
          <w:rFonts w:hint="eastAsia" w:ascii="宋体" w:hAnsi="宋体" w:cs="宋体"/>
          <w:szCs w:val="21"/>
          <w:highlight w:val="none"/>
        </w:rPr>
        <w:t>根据中标人已提交的最终工程量清单及控制价咨询成果文件，非招标项目，按财务结算制度，结合中标人的中标折扣费率并经招标人签署意见后，由项目施工方开工前一次性支付工程量清单及控制价编制费。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结合中标人的中标折扣费率，按施工中标人中标价计取，招标项目，即通过招标方式确定施工中标人的项目，由项目施工中标人在领取中标通知书前支付。</w:t>
      </w:r>
    </w:p>
    <w:p>
      <w:pPr>
        <w:spacing w:line="360" w:lineRule="auto"/>
        <w:rPr>
          <w:rFonts w:hint="eastAsia" w:ascii="宋体" w:hAnsi="宋体" w:cs="宋体"/>
          <w:b/>
          <w:szCs w:val="21"/>
          <w:highlight w:val="none"/>
        </w:rPr>
      </w:pPr>
      <w:r>
        <w:rPr>
          <w:rFonts w:hint="eastAsia" w:ascii="宋体" w:hAnsi="宋体" w:cs="宋体"/>
          <w:b/>
          <w:szCs w:val="21"/>
          <w:highlight w:val="none"/>
        </w:rPr>
        <w:t>竣工结算及跟踪审计费用：</w:t>
      </w:r>
    </w:p>
    <w:p>
      <w:pPr>
        <w:spacing w:line="360" w:lineRule="auto"/>
        <w:ind w:firstLine="420" w:firstLineChars="200"/>
        <w:rPr>
          <w:rFonts w:hint="eastAsia"/>
          <w:szCs w:val="21"/>
          <w:highlight w:val="none"/>
        </w:rPr>
      </w:pPr>
      <w:r>
        <w:rPr>
          <w:rFonts w:hint="eastAsia"/>
          <w:sz w:val="21"/>
          <w:szCs w:val="21"/>
          <w:highlight w:val="none"/>
        </w:rPr>
        <w:t>按结算制度，结合中标人的中标折扣费率，根据中标人已提交的最终工程竣工结算审计报告，并经招标人签署意见后，招标人一次性支付被审核项目的基本收费及审减额10%以内部分收费。涉及审减额10%以上及审增额部分费用由施工方支付，招标人负责协调，其中跟踪审计基本收费不计取，按竣工结算审核费用收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451D4"/>
    <w:multiLevelType w:val="singleLevel"/>
    <w:tmpl w:val="BD6451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046A33B6"/>
    <w:rsid w:val="046A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uiPriority w:val="0"/>
    <w:pPr>
      <w:snapToGrid w:val="0"/>
      <w:spacing w:line="480" w:lineRule="auto"/>
      <w:ind w:firstLine="480"/>
    </w:pPr>
    <w:rPr>
      <w:spacing w:val="4"/>
      <w:sz w:val="24"/>
      <w:szCs w:val="20"/>
    </w:rPr>
  </w:style>
  <w:style w:type="paragraph" w:styleId="4">
    <w:name w:val="envelope return"/>
    <w:basedOn w:val="1"/>
    <w:qFormat/>
    <w:uiPriority w:val="0"/>
    <w:pPr>
      <w:snapToGrid w:val="0"/>
    </w:pPr>
    <w:rPr>
      <w:rFonts w:ascii="Arial" w:hAnsi="Arial"/>
    </w:rPr>
  </w:style>
  <w:style w:type="paragraph" w:styleId="5">
    <w:name w:val="Body Text First Indent"/>
    <w:basedOn w:val="6"/>
    <w:qFormat/>
    <w:uiPriority w:val="0"/>
    <w:pPr>
      <w:spacing w:after="120"/>
      <w:ind w:firstLine="420" w:firstLineChars="100"/>
    </w:pPr>
    <w:rPr>
      <w:szCs w:val="24"/>
    </w:rPr>
  </w:style>
  <w:style w:type="paragraph" w:styleId="6">
    <w:name w:val="Body Text"/>
    <w:basedOn w:val="1"/>
    <w:next w:val="1"/>
    <w:qFormat/>
    <w:uiPriority w:val="0"/>
    <w:pPr>
      <w:spacing w:after="120" w:afterLines="0"/>
    </w:pPr>
  </w:style>
  <w:style w:type="paragraph" w:styleId="8">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2022-09-06T00:48:00Z</dcterms:created>
  <dc:creator>兔子爱上了窝边草</dc:creator>
  <cp:lastModifiedBy>兔子爱上了窝边草</cp:lastModifiedBy>
  <dcterms:modified xsi:type="dcterms:W3CDTF">2022-09-06T00:49:04Z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F2FB344526B84F91A82543AFF7192B62</vt:lpwstr>
  </property>
</Properties>
</file>