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rPr>
      </w:pPr>
      <w:r>
        <w:rPr>
          <w:rFonts w:hint="eastAsia" w:ascii="微软雅黑" w:hAnsi="微软雅黑" w:eastAsia="微软雅黑" w:cs="微软雅黑"/>
          <w:b/>
          <w:bCs/>
          <w:lang w:val="en-US" w:eastAsia="zh-CN"/>
        </w:rPr>
        <w:t>安庆第一人民医院打印设备</w:t>
      </w:r>
      <w:r>
        <w:rPr>
          <w:rFonts w:hint="eastAsia" w:ascii="微软雅黑" w:hAnsi="微软雅黑" w:eastAsia="微软雅黑" w:cs="微软雅黑"/>
          <w:b/>
          <w:bCs/>
        </w:rPr>
        <w:t>采购项目竞争性谈判</w:t>
      </w:r>
      <w:r>
        <w:rPr>
          <w:rFonts w:hint="eastAsia" w:ascii="微软雅黑" w:hAnsi="微软雅黑" w:eastAsia="微软雅黑" w:cs="微软雅黑"/>
          <w:b/>
          <w:bCs/>
          <w:lang w:val="en-US" w:eastAsia="zh-CN"/>
        </w:rPr>
        <w:t>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pPr>
      <w:r>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t>一、项目情况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pPr>
      <w:r>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t>项目名称：</w:t>
      </w:r>
      <w:r>
        <w:rPr>
          <w:rFonts w:hint="eastAsia" w:ascii="仿宋" w:hAnsi="仿宋" w:eastAsia="仿宋" w:cs="仿宋"/>
          <w:b w:val="0"/>
          <w:bCs w:val="0"/>
          <w:lang w:val="en-US" w:eastAsia="zh-CN"/>
        </w:rPr>
        <w:t>安庆</w:t>
      </w:r>
      <w:r>
        <w:rPr>
          <w:rFonts w:hint="eastAsia" w:eastAsia="仿宋" w:cs="仿宋"/>
          <w:b w:val="0"/>
          <w:bCs w:val="0"/>
          <w:lang w:val="en-US" w:eastAsia="zh-CN"/>
        </w:rPr>
        <w:t>市</w:t>
      </w:r>
      <w:r>
        <w:rPr>
          <w:rFonts w:hint="eastAsia" w:ascii="仿宋" w:hAnsi="仿宋" w:eastAsia="仿宋" w:cs="仿宋"/>
          <w:b w:val="0"/>
          <w:bCs w:val="0"/>
          <w:lang w:val="en-US" w:eastAsia="zh-CN"/>
        </w:rPr>
        <w:t>第一人民医院打印设备</w:t>
      </w:r>
      <w:r>
        <w:rPr>
          <w:rFonts w:hint="eastAsia" w:ascii="仿宋" w:hAnsi="仿宋" w:eastAsia="仿宋" w:cs="仿宋"/>
          <w:b w:val="0"/>
          <w:bCs w:val="0"/>
        </w:rPr>
        <w:t>采购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Style w:val="6"/>
          <w:rFonts w:hint="default" w:ascii="仿宋_GB2312" w:hAnsi="微软雅黑"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t>采购方式：</w:t>
      </w:r>
      <w:r>
        <w:rPr>
          <w:rStyle w:val="6"/>
          <w:rFonts w:hint="eastAsia" w:ascii="仿宋_GB2312" w:hAnsi="微软雅黑"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采用符合性评审的有效最低价评审方法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pPr>
      <w:r>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t>预算金额：29080元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pPr>
      <w:r>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t>最高限价：29080元</w:t>
      </w:r>
    </w:p>
    <w:p>
      <w:pPr>
        <w:ind w:left="0" w:leftChars="0" w:firstLine="0" w:firstLineChars="0"/>
        <w:jc w:val="both"/>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pPr>
      <w:r>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t>资金来源：医院自筹</w:t>
      </w:r>
    </w:p>
    <w:p>
      <w:pPr>
        <w:pStyle w:val="2"/>
        <w:ind w:left="0" w:leftChars="0" w:firstLine="0" w:firstLineChars="0"/>
        <w:rPr>
          <w:rFonts w:hint="default"/>
          <w:lang w:val="en-US" w:eastAsia="zh-CN"/>
        </w:rPr>
      </w:pPr>
      <w:r>
        <w:rPr>
          <w:rStyle w:val="6"/>
          <w:rFonts w:hint="eastAsia" w:ascii="仿宋_GB2312" w:hAnsi="微软雅黑" w:eastAsia="仿宋_GB2312" w:cs="仿宋_GB2312"/>
          <w:b w:val="0"/>
          <w:bCs w:val="0"/>
          <w:i w:val="0"/>
          <w:iCs w:val="0"/>
          <w:caps w:val="0"/>
          <w:color w:val="333333"/>
          <w:spacing w:val="0"/>
          <w:kern w:val="0"/>
          <w:sz w:val="28"/>
          <w:szCs w:val="28"/>
          <w:shd w:val="clear" w:fill="FFFFFF"/>
          <w:lang w:val="en-US" w:eastAsia="zh-CN" w:bidi="ar"/>
        </w:rPr>
        <w:t>采购单位：安庆市第一人民医院</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二、项目需求</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1.项目内容：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9"/>
        <w:gridCol w:w="2295"/>
        <w:gridCol w:w="7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default" w:ascii="仿宋" w:hAnsi="仿宋"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产品类型</w:t>
            </w:r>
          </w:p>
        </w:tc>
        <w:tc>
          <w:tcPr>
            <w:tcW w:w="2295"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default" w:ascii="仿宋" w:hAnsi="仿宋"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型号</w:t>
            </w:r>
          </w:p>
        </w:tc>
        <w:tc>
          <w:tcPr>
            <w:tcW w:w="713"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default" w:ascii="仿宋" w:hAnsi="仿宋"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数量</w:t>
            </w:r>
          </w:p>
        </w:tc>
        <w:tc>
          <w:tcPr>
            <w:tcW w:w="1485"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default" w:ascii="仿宋" w:hAnsi="仿宋"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tcPr>
          <w:p>
            <w:pPr>
              <w:keepNext w:val="0"/>
              <w:keepLines w:val="0"/>
              <w:widowControl/>
              <w:suppressLineNumbers w:val="0"/>
              <w:spacing w:before="0" w:beforeAutospacing="0" w:after="0" w:afterAutospacing="0" w:line="560" w:lineRule="atLeast"/>
              <w:ind w:left="0" w:leftChars="0" w:right="0" w:firstLine="0" w:firstLineChars="0"/>
              <w:jc w:val="left"/>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热敏条码打印机（一年质保）</w:t>
            </w:r>
          </w:p>
        </w:tc>
        <w:tc>
          <w:tcPr>
            <w:tcW w:w="2295" w:type="dxa"/>
          </w:tcPr>
          <w:p>
            <w:pPr>
              <w:keepNext w:val="0"/>
              <w:keepLines w:val="0"/>
              <w:widowControl/>
              <w:suppressLineNumbers w:val="0"/>
              <w:spacing w:before="0" w:beforeAutospacing="0" w:after="0" w:afterAutospacing="0" w:line="560" w:lineRule="atLeast"/>
              <w:ind w:left="0" w:leftChars="0" w:right="0" w:firstLine="0" w:firstLineChars="0"/>
              <w:jc w:val="left"/>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斑马 ZD888t</w:t>
            </w:r>
          </w:p>
        </w:tc>
        <w:tc>
          <w:tcPr>
            <w:tcW w:w="713"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default"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9</w:t>
            </w:r>
          </w:p>
        </w:tc>
        <w:tc>
          <w:tcPr>
            <w:tcW w:w="1485"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default"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tcPr>
          <w:p>
            <w:pPr>
              <w:keepNext w:val="0"/>
              <w:keepLines w:val="0"/>
              <w:widowControl/>
              <w:suppressLineNumbers w:val="0"/>
              <w:spacing w:before="0" w:beforeAutospacing="0" w:after="0" w:afterAutospacing="0" w:line="560" w:lineRule="atLeast"/>
              <w:ind w:left="0" w:leftChars="0" w:right="0" w:firstLine="0" w:firstLineChars="0"/>
              <w:jc w:val="left"/>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黑白激光多功能一体机（一年质保）</w:t>
            </w:r>
          </w:p>
        </w:tc>
        <w:tc>
          <w:tcPr>
            <w:tcW w:w="2295" w:type="dxa"/>
          </w:tcPr>
          <w:p>
            <w:pPr>
              <w:keepNext w:val="0"/>
              <w:keepLines w:val="0"/>
              <w:widowControl/>
              <w:suppressLineNumbers w:val="0"/>
              <w:spacing w:before="0" w:beforeAutospacing="0" w:after="0" w:afterAutospacing="0" w:line="560" w:lineRule="atLeast"/>
              <w:ind w:left="0" w:leftChars="0" w:right="0" w:firstLine="0" w:firstLineChars="0"/>
              <w:jc w:val="left"/>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兄弟 DCP-7180DN</w:t>
            </w:r>
          </w:p>
        </w:tc>
        <w:tc>
          <w:tcPr>
            <w:tcW w:w="713"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default"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4</w:t>
            </w:r>
          </w:p>
        </w:tc>
        <w:tc>
          <w:tcPr>
            <w:tcW w:w="1485"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tcPr>
          <w:p>
            <w:pPr>
              <w:keepNext w:val="0"/>
              <w:keepLines w:val="0"/>
              <w:widowControl/>
              <w:suppressLineNumbers w:val="0"/>
              <w:spacing w:before="0" w:beforeAutospacing="0" w:after="0" w:afterAutospacing="0" w:line="560" w:lineRule="atLeast"/>
              <w:ind w:left="0" w:leftChars="0" w:right="0" w:firstLine="0" w:firstLineChars="0"/>
              <w:jc w:val="left"/>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黑白激光打印机（一年质保）</w:t>
            </w:r>
          </w:p>
        </w:tc>
        <w:tc>
          <w:tcPr>
            <w:tcW w:w="2295" w:type="dxa"/>
          </w:tcPr>
          <w:p>
            <w:pPr>
              <w:keepNext w:val="0"/>
              <w:keepLines w:val="0"/>
              <w:widowControl/>
              <w:suppressLineNumbers w:val="0"/>
              <w:spacing w:before="0" w:beforeAutospacing="0" w:after="0" w:afterAutospacing="0" w:line="560" w:lineRule="atLeast"/>
              <w:ind w:left="0" w:leftChars="0" w:right="0" w:firstLine="0" w:firstLineChars="0"/>
              <w:jc w:val="left"/>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兄弟 HL-5590DN</w:t>
            </w:r>
          </w:p>
        </w:tc>
        <w:tc>
          <w:tcPr>
            <w:tcW w:w="713"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default"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1</w:t>
            </w:r>
          </w:p>
        </w:tc>
        <w:tc>
          <w:tcPr>
            <w:tcW w:w="1485"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tcPr>
          <w:p>
            <w:pPr>
              <w:keepNext w:val="0"/>
              <w:keepLines w:val="0"/>
              <w:widowControl/>
              <w:suppressLineNumbers w:val="0"/>
              <w:spacing w:before="0" w:beforeAutospacing="0" w:after="0" w:afterAutospacing="0" w:line="560" w:lineRule="atLeast"/>
              <w:ind w:left="0" w:leftChars="0" w:right="0" w:firstLine="0" w:firstLineChars="0"/>
              <w:jc w:val="left"/>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高速通用汉字打印机（三年质保）</w:t>
            </w:r>
          </w:p>
        </w:tc>
        <w:tc>
          <w:tcPr>
            <w:tcW w:w="2295" w:type="dxa"/>
          </w:tcPr>
          <w:p>
            <w:pPr>
              <w:keepNext w:val="0"/>
              <w:keepLines w:val="0"/>
              <w:widowControl/>
              <w:suppressLineNumbers w:val="0"/>
              <w:spacing w:before="0" w:beforeAutospacing="0" w:after="0" w:afterAutospacing="0" w:line="560" w:lineRule="atLeast"/>
              <w:ind w:left="0" w:leftChars="0" w:right="0" w:firstLine="0" w:firstLineChars="0"/>
              <w:jc w:val="left"/>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富士通 DPK300</w:t>
            </w:r>
          </w:p>
        </w:tc>
        <w:tc>
          <w:tcPr>
            <w:tcW w:w="713"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default"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2</w:t>
            </w:r>
          </w:p>
        </w:tc>
        <w:tc>
          <w:tcPr>
            <w:tcW w:w="1485"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tcPr>
          <w:p>
            <w:pPr>
              <w:keepNext w:val="0"/>
              <w:keepLines w:val="0"/>
              <w:widowControl/>
              <w:suppressLineNumbers w:val="0"/>
              <w:spacing w:before="0" w:beforeAutospacing="0" w:after="0" w:afterAutospacing="0" w:line="560" w:lineRule="atLeast"/>
              <w:ind w:left="0" w:leftChars="0" w:right="0" w:firstLine="0" w:firstLineChars="0"/>
              <w:jc w:val="left"/>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激光打印机（一年质保）</w:t>
            </w:r>
          </w:p>
        </w:tc>
        <w:tc>
          <w:tcPr>
            <w:tcW w:w="2295" w:type="dxa"/>
          </w:tcPr>
          <w:p>
            <w:pPr>
              <w:keepNext w:val="0"/>
              <w:keepLines w:val="0"/>
              <w:widowControl/>
              <w:suppressLineNumbers w:val="0"/>
              <w:spacing w:before="0" w:beforeAutospacing="0" w:after="0" w:afterAutospacing="0" w:line="560" w:lineRule="atLeast"/>
              <w:ind w:left="0" w:leftChars="0" w:right="0" w:firstLine="0" w:firstLineChars="0"/>
              <w:jc w:val="left"/>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佳能 Laser Shot LBP 2900+</w:t>
            </w:r>
          </w:p>
        </w:tc>
        <w:tc>
          <w:tcPr>
            <w:tcW w:w="713"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default"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7</w:t>
            </w:r>
          </w:p>
        </w:tc>
        <w:tc>
          <w:tcPr>
            <w:tcW w:w="1485" w:type="dxa"/>
            <w:vAlign w:val="center"/>
          </w:tcPr>
          <w:p>
            <w:pPr>
              <w:keepNext w:val="0"/>
              <w:keepLines w:val="0"/>
              <w:widowControl/>
              <w:suppressLineNumbers w:val="0"/>
              <w:spacing w:before="0" w:beforeAutospacing="0" w:after="0" w:afterAutospacing="0" w:line="560" w:lineRule="atLeast"/>
              <w:ind w:left="0" w:leftChars="0" w:right="0" w:firstLine="0" w:firstLineChars="0"/>
              <w:jc w:val="cente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eastAsia="仿宋" w:cs="仿宋"/>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台</w:t>
            </w:r>
          </w:p>
        </w:tc>
      </w:tr>
    </w:tbl>
    <w:p>
      <w:pPr>
        <w:pStyle w:val="2"/>
        <w:ind w:left="0" w:leftChars="0" w:firstLine="0" w:firstLineChars="0"/>
        <w:rPr>
          <w:rFonts w:hint="default" w:ascii="仿宋" w:hAnsi="仿宋" w:eastAsia="仿宋" w:cs="仿宋"/>
          <w:b w:val="0"/>
          <w:bCs w:val="0"/>
          <w:lang w:val="en-US" w:eastAsia="zh-CN"/>
        </w:rPr>
      </w:pP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2.所供产品均须为原厂全新正品，并按原厂官方质保规定提供相应质保服务。</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3.所供产品需提供安装、调试服务，满足正常使用需求。</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三、供应商资格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Style w:val="6"/>
          <w:rFonts w:hint="eastAsia" w:ascii="仿宋_GB2312" w:hAnsi="微软雅黑"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Style w:val="6"/>
          <w:rFonts w:hint="eastAsia" w:ascii="仿宋_GB2312" w:hAnsi="微软雅黑"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1.满足《中华人民共和国政府采购法》第二十二条规定；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Style w:val="6"/>
          <w:rFonts w:hint="eastAsia" w:ascii="仿宋_GB2312" w:hAnsi="微软雅黑"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Style w:val="6"/>
          <w:rFonts w:hint="eastAsia" w:ascii="仿宋_GB2312" w:hAnsi="微软雅黑"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2.具有独立法人资格且具有合法有效的营业执照；</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3.本项目不接受联合体投标</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四、响应文件</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1.响应文件内容</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1.1报价部分：</w:t>
      </w:r>
    </w:p>
    <w:p>
      <w:pPr>
        <w:pStyle w:val="2"/>
        <w:ind w:left="0" w:leftChars="0" w:firstLine="280" w:firstLineChars="100"/>
        <w:rPr>
          <w:rFonts w:hint="eastAsia" w:ascii="仿宋" w:hAnsi="仿宋" w:eastAsia="仿宋" w:cs="仿宋"/>
          <w:b w:val="0"/>
          <w:bCs w:val="0"/>
          <w:lang w:val="en-US" w:eastAsia="zh-CN"/>
        </w:rPr>
      </w:pPr>
      <w:r>
        <w:rPr>
          <w:rFonts w:hint="eastAsia" w:ascii="仿宋" w:hAnsi="仿宋" w:eastAsia="仿宋" w:cs="仿宋"/>
          <w:b w:val="0"/>
          <w:bCs w:val="0"/>
          <w:lang w:val="en-US" w:eastAsia="zh-CN"/>
        </w:rPr>
        <w:t>1.1.1按项目内容各项单价、合价和总价</w:t>
      </w:r>
    </w:p>
    <w:p>
      <w:pPr>
        <w:pStyle w:val="2"/>
        <w:ind w:left="0" w:leftChars="0" w:firstLine="280" w:firstLineChars="100"/>
        <w:rPr>
          <w:rFonts w:hint="default" w:ascii="仿宋" w:hAnsi="仿宋" w:eastAsia="仿宋" w:cs="仿宋"/>
          <w:b w:val="0"/>
          <w:bCs w:val="0"/>
          <w:lang w:val="en-US" w:eastAsia="zh-CN"/>
        </w:rPr>
      </w:pPr>
      <w:r>
        <w:rPr>
          <w:rFonts w:hint="eastAsia" w:ascii="仿宋" w:hAnsi="仿宋" w:eastAsia="仿宋" w:cs="仿宋"/>
          <w:b w:val="0"/>
          <w:bCs w:val="0"/>
          <w:lang w:val="en-US" w:eastAsia="zh-CN"/>
        </w:rPr>
        <w:t>1.1.2报价应是本谈判文件所确定的全部内容的价格体现。其应包括设备、劳务、管理、安装、维护、税金、验收等各项应有费用。</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1.2商务部分：</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 1.2.1供应商基本情况表，附有效的企业法人营业执照副本、税务登记证书副本、组织机构代码证副本。</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 1.2.2法定代表人身份证明</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 1.2.3法定代表人授权委托书</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 1.2.4投标人认为需要加以说明和招标文件规定的其它商务内容</w:t>
      </w:r>
    </w:p>
    <w:p>
      <w:pPr>
        <w:pStyle w:val="2"/>
        <w:ind w:left="0" w:leftChars="0" w:firstLine="0" w:firstLineChars="0"/>
        <w:rPr>
          <w:rFonts w:hint="default" w:ascii="仿宋" w:hAnsi="仿宋" w:eastAsia="仿宋" w:cs="仿宋"/>
          <w:b w:val="0"/>
          <w:bCs w:val="0"/>
          <w:lang w:val="en-US" w:eastAsia="zh-CN"/>
        </w:rPr>
      </w:pPr>
      <w:r>
        <w:rPr>
          <w:rFonts w:hint="eastAsia" w:ascii="仿宋" w:hAnsi="仿宋" w:eastAsia="仿宋" w:cs="仿宋"/>
          <w:b w:val="0"/>
          <w:bCs w:val="0"/>
          <w:lang w:val="en-US" w:eastAsia="zh-CN"/>
        </w:rPr>
        <w:t>1.3服务承诺书。</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1.4响应文件正本壹份，副本伍份，正、副本内容一致，若正、副本内容不一致，以正本为准。</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1.5响应文件应由供应商的法定代表人或经正式授权并对供应商具有约束力的代表签字。被授权代表须以书面形式出具“法定代表人授权书（原件）”，并附在响应文件中。响应文件不得涂改、增删。</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1.6每份响应文件均须加盖骑缝章（供应商公章）。</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1.7所有响应文件必须装入密封的信封，并在封口处加盖供应商公章。</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2.响应文件的递交</w:t>
      </w:r>
    </w:p>
    <w:p>
      <w:pPr>
        <w:pStyle w:val="2"/>
        <w:ind w:left="0" w:leftChars="0" w:firstLine="0" w:firstLineChars="0"/>
        <w:rPr>
          <w:rStyle w:val="6"/>
          <w:rFonts w:hint="eastAsia" w:ascii="仿宋_GB2312" w:hAnsi="微软雅黑"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val="0"/>
          <w:bCs w:val="0"/>
          <w:lang w:val="en-US" w:eastAsia="zh-CN"/>
        </w:rPr>
        <w:t>2.2递交时间：</w:t>
      </w:r>
      <w:r>
        <w:rPr>
          <w:rStyle w:val="6"/>
          <w:rFonts w:hint="eastAsia" w:ascii="仿宋_GB2312" w:hAnsi="微软雅黑"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2022年10月15日9时30分</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2.2递交方式：现场递交</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2.3递交地址：安庆市第一人民医院龙山院区行政楼2楼招投标会议室</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五、谈判</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1.在递交响应文件时间截止的同时，由采购单位组成的谈判小组和供应商进行谈判</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2.谈判小组由采购单位代表及有关专家组成</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3.谈判程序</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3.1谈判小组当众拆封各承包商的响应性文件，并公布报价等主要内容</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3.2谈判小组审阅各供应商所递交的响应性文件</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3.3谈判小组所在成员集中与每一供应商分别进行谈判</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3.4谈判小组根据响应性文件请各供应商作最后报价</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3.5最终确定成交供应商</w:t>
      </w:r>
    </w:p>
    <w:p>
      <w:pPr>
        <w:pStyle w:val="2"/>
        <w:numPr>
          <w:ilvl w:val="0"/>
          <w:numId w:val="1"/>
        </w:numPr>
        <w:ind w:left="0" w:leftChars="0" w:firstLine="0" w:firstLineChars="0"/>
        <w:rPr>
          <w:rStyle w:val="6"/>
          <w:rFonts w:hint="eastAsia" w:ascii="仿宋_GB2312" w:hAnsi="微软雅黑"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b w:val="0"/>
          <w:bCs w:val="0"/>
          <w:lang w:val="en-US" w:eastAsia="zh-CN"/>
        </w:rPr>
        <w:t>谈判时间：</w:t>
      </w:r>
      <w:r>
        <w:rPr>
          <w:rStyle w:val="6"/>
          <w:rFonts w:hint="eastAsia" w:ascii="仿宋_GB2312" w:hAnsi="微软雅黑"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2022年10月15日9时30分</w:t>
      </w:r>
    </w:p>
    <w:p>
      <w:pPr>
        <w:pStyle w:val="2"/>
        <w:numPr>
          <w:ilvl w:val="0"/>
          <w:numId w:val="1"/>
        </w:numPr>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谈判地址：安庆市第一人民医院龙山院区行政楼2楼招投标会议室</w:t>
      </w:r>
    </w:p>
    <w:p>
      <w:pPr>
        <w:pStyle w:val="2"/>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六、评审标准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本次谈判采用</w:t>
      </w:r>
      <w:r>
        <w:rPr>
          <w:rStyle w:val="6"/>
          <w:rFonts w:hint="eastAsia" w:ascii="仿宋_GB2312" w:hAnsi="微软雅黑" w:eastAsia="仿宋_GB2312" w:cs="仿宋_GB2312"/>
          <w:b w:val="0"/>
          <w:bCs w:val="0"/>
          <w:i w:val="0"/>
          <w:iCs w:val="0"/>
          <w:caps w:val="0"/>
          <w:color w:val="000000" w:themeColor="text1"/>
          <w:spacing w:val="0"/>
          <w:kern w:val="0"/>
          <w:sz w:val="28"/>
          <w:szCs w:val="28"/>
          <w:shd w:val="clear" w:fill="FFFFFF"/>
          <w:lang w:val="en-US" w:eastAsia="zh-CN" w:bidi="ar"/>
          <w14:textFill>
            <w14:solidFill>
              <w14:schemeClr w14:val="tx1"/>
            </w14:solidFill>
          </w14:textFill>
        </w:rPr>
        <w:t>采用符合性评审的有效最低价评审方法</w:t>
      </w:r>
    </w:p>
    <w:p>
      <w:pPr>
        <w:pStyle w:val="2"/>
        <w:numPr>
          <w:ilvl w:val="0"/>
          <w:numId w:val="2"/>
        </w:numPr>
        <w:ind w:left="0" w:leftChars="0" w:firstLine="0" w:firstLineChars="0"/>
        <w:rPr>
          <w:rFonts w:hint="eastAsia" w:ascii="仿宋" w:hAnsi="仿宋" w:eastAsia="仿宋" w:cs="仿宋"/>
          <w:b w:val="0"/>
          <w:bCs w:val="0"/>
          <w:lang w:val="en-US" w:eastAsia="zh-CN"/>
        </w:rPr>
      </w:pPr>
      <w:r>
        <w:rPr>
          <w:rFonts w:hint="eastAsia" w:ascii="仿宋" w:hAnsi="仿宋" w:eastAsia="仿宋" w:cs="仿宋"/>
          <w:b w:val="0"/>
          <w:bCs w:val="0"/>
          <w:lang w:val="en-US" w:eastAsia="zh-CN"/>
        </w:rPr>
        <w:t>付款方式</w:t>
      </w:r>
    </w:p>
    <w:p>
      <w:pPr>
        <w:pStyle w:val="2"/>
        <w:numPr>
          <w:ilvl w:val="0"/>
          <w:numId w:val="0"/>
        </w:numPr>
        <w:ind w:leftChars="0" w:firstLine="560"/>
        <w:rPr>
          <w:rFonts w:hint="eastAsia" w:ascii="仿宋" w:hAnsi="仿宋" w:eastAsia="仿宋" w:cs="仿宋"/>
          <w:b w:val="0"/>
          <w:bCs w:val="0"/>
          <w:lang w:val="en-US" w:eastAsia="zh-CN"/>
        </w:rPr>
      </w:pPr>
      <w:r>
        <w:rPr>
          <w:rFonts w:hint="eastAsia" w:ascii="仿宋" w:hAnsi="仿宋" w:eastAsia="仿宋" w:cs="仿宋"/>
          <w:b w:val="0"/>
          <w:bCs w:val="0"/>
          <w:lang w:val="en-US" w:eastAsia="zh-CN"/>
        </w:rPr>
        <w:t>合同约定。</w:t>
      </w:r>
    </w:p>
    <w:p>
      <w:pPr>
        <w:pStyle w:val="2"/>
        <w:numPr>
          <w:ilvl w:val="0"/>
          <w:numId w:val="2"/>
        </w:numPr>
        <w:ind w:left="0" w:leftChars="0" w:firstLine="0" w:firstLineChars="0"/>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合同履行期限</w:t>
      </w:r>
    </w:p>
    <w:p>
      <w:pPr>
        <w:pStyle w:val="2"/>
        <w:numPr>
          <w:numId w:val="0"/>
        </w:numPr>
        <w:ind w:leftChars="0" w:firstLine="560" w:firstLineChars="200"/>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合同签订后3个日历日完成供货调试，并交付使用。</w:t>
      </w:r>
      <w:bookmarkStart w:id="0" w:name="_GoBack"/>
      <w:bookmarkEnd w:id="0"/>
    </w:p>
    <w:p>
      <w:pPr>
        <w:pStyle w:val="2"/>
        <w:numPr>
          <w:ilvl w:val="0"/>
          <w:numId w:val="0"/>
        </w:numPr>
        <w:rPr>
          <w:rFonts w:hint="default" w:ascii="仿宋" w:hAnsi="仿宋" w:eastAsia="仿宋" w:cs="仿宋"/>
          <w:b w:val="0"/>
          <w:bCs w:val="0"/>
          <w:lang w:val="en-US" w:eastAsia="zh-CN"/>
        </w:rPr>
      </w:pPr>
    </w:p>
    <w:p>
      <w:pPr>
        <w:pStyle w:val="2"/>
        <w:ind w:left="0" w:leftChars="0" w:firstLine="0" w:firstLineChars="0"/>
        <w:rPr>
          <w:rFonts w:hint="default" w:ascii="仿宋" w:hAnsi="仿宋" w:eastAsia="仿宋" w:cs="仿宋"/>
          <w:b w:val="0"/>
          <w:bCs w:val="0"/>
          <w:lang w:val="en-US" w:eastAsia="zh-CN"/>
        </w:rPr>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D5FD2"/>
    <w:multiLevelType w:val="singleLevel"/>
    <w:tmpl w:val="DD6D5FD2"/>
    <w:lvl w:ilvl="0" w:tentative="0">
      <w:start w:val="4"/>
      <w:numFmt w:val="decimal"/>
      <w:lvlText w:val="%1."/>
      <w:lvlJc w:val="left"/>
      <w:pPr>
        <w:tabs>
          <w:tab w:val="left" w:pos="312"/>
        </w:tabs>
      </w:pPr>
    </w:lvl>
  </w:abstractNum>
  <w:abstractNum w:abstractNumId="1">
    <w:nsid w:val="6FF654C7"/>
    <w:multiLevelType w:val="singleLevel"/>
    <w:tmpl w:val="6FF654C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ZmQ1YjUyMTJhZmZhMjIzYzUyZTU5ZDZhMmZkNGMifQ=="/>
  </w:docVars>
  <w:rsids>
    <w:rsidRoot w:val="159A744E"/>
    <w:rsid w:val="02A71D24"/>
    <w:rsid w:val="09E60F81"/>
    <w:rsid w:val="0FBF2CC4"/>
    <w:rsid w:val="159A744E"/>
    <w:rsid w:val="59313DB3"/>
    <w:rsid w:val="6156790C"/>
    <w:rsid w:val="7749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 w:hAnsi="仿宋" w:eastAsiaTheme="minorEastAsia" w:cstheme="minorBidi"/>
      <w:kern w:val="2"/>
      <w:sz w:val="28"/>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ind w:firstLine="200" w:firstLineChars="200"/>
    </w:pPr>
    <w:rPr>
      <w:rFonts w:ascii="Calibri" w:hAnsi="Calibri"/>
      <w:sz w:val="28"/>
      <w:szCs w:val="2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1072</Words>
  <Characters>1201</Characters>
  <Lines>0</Lines>
  <Paragraphs>0</Paragraphs>
  <TotalTime>0</TotalTime>
  <ScaleCrop>false</ScaleCrop>
  <LinksUpToDate>false</LinksUpToDate>
  <CharactersWithSpaces>1213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2022-10-11T15:06:00Z</dcterms:created>
  <dc:creator>谢</dc:creator>
  <cp:lastModifiedBy>黑马 大哥</cp:lastModifiedBy>
  <cp:lastPrinted>2022-10-12T01:46:42Z</cp:lastPrinted>
  <dcterms:modified xsi:type="dcterms:W3CDTF">2022-10-12T02:18:45Z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DBBA021F87A84323B211DEA4D2FFFAC9</vt:lpwstr>
  </property>
</Properties>
</file>