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color w:val="000000"/>
          <w:highlight w:val="none"/>
        </w:rPr>
      </w:pPr>
      <w:bookmarkStart w:id="0" w:name="_Toc12616"/>
      <w:bookmarkStart w:id="1" w:name="_Toc490233120"/>
      <w:r>
        <w:rPr>
          <w:rFonts w:hint="eastAsia"/>
          <w:color w:val="000000"/>
          <w:highlight w:val="none"/>
        </w:rPr>
        <w:t>货物需求及技术要求</w:t>
      </w:r>
      <w:bookmarkEnd w:id="0"/>
      <w:bookmarkEnd w:id="1"/>
    </w:p>
    <w:p>
      <w:pPr>
        <w:widowControl/>
        <w:spacing w:line="440" w:lineRule="exact"/>
        <w:ind w:firstLine="422" w:firstLineChars="200"/>
        <w:rPr>
          <w:rFonts w:ascii="宋体" w:hAnsi="宋体" w:cs="宋体"/>
          <w:b/>
          <w:szCs w:val="21"/>
          <w:highlight w:val="none"/>
        </w:rPr>
      </w:pPr>
      <w:bookmarkStart w:id="2" w:name="_Toc12315"/>
      <w:bookmarkStart w:id="3" w:name="_Toc24523"/>
      <w:bookmarkStart w:id="4" w:name="_Toc7241"/>
      <w:r>
        <w:rPr>
          <w:rFonts w:hint="eastAsia" w:ascii="宋体" w:hAnsi="宋体" w:cs="宋体"/>
          <w:b/>
          <w:szCs w:val="21"/>
          <w:highlight w:val="none"/>
        </w:rPr>
        <w:t>一、采购需求</w:t>
      </w:r>
      <w:bookmarkStart w:id="5" w:name="_Toc46308531"/>
      <w:bookmarkStart w:id="6" w:name="_Toc98579011"/>
      <w:bookmarkStart w:id="7" w:name="_Toc98580293"/>
      <w:bookmarkStart w:id="8" w:name="_Toc98035089"/>
      <w:bookmarkStart w:id="9" w:name="_Toc101771372"/>
      <w:bookmarkStart w:id="10" w:name="_Toc273520768"/>
      <w:bookmarkStart w:id="11" w:name="_Toc272497418"/>
      <w:bookmarkStart w:id="12" w:name="_Toc46308687"/>
      <w:bookmarkStart w:id="13" w:name="_Toc98579610"/>
      <w:bookmarkStart w:id="14" w:name="_Toc41723936"/>
      <w:bookmarkStart w:id="15" w:name="_Toc42313172"/>
      <w:bookmarkStart w:id="16" w:name="_Toc101843125"/>
      <w:bookmarkStart w:id="17" w:name="_Toc98579069"/>
      <w:bookmarkStart w:id="18" w:name="_Toc41884706"/>
      <w:bookmarkStart w:id="19" w:name="_Toc175644394"/>
      <w:bookmarkStart w:id="20" w:name="_Toc50276165"/>
      <w:bookmarkStart w:id="21" w:name="_Toc42394673"/>
      <w:bookmarkStart w:id="22" w:name="_Toc101775125"/>
      <w:bookmarkStart w:id="23" w:name="_Toc42394517"/>
      <w:bookmarkStart w:id="24" w:name="_Toc50276204"/>
      <w:bookmarkStart w:id="25" w:name="_Toc101951263"/>
    </w:p>
    <w:tbl>
      <w:tblPr>
        <w:tblStyle w:val="8"/>
        <w:tblW w:w="4617" w:type="pct"/>
        <w:jc w:val="center"/>
        <w:tblLayout w:type="fixed"/>
        <w:tblCellMar>
          <w:top w:w="0" w:type="dxa"/>
          <w:left w:w="108" w:type="dxa"/>
          <w:bottom w:w="0" w:type="dxa"/>
          <w:right w:w="108" w:type="dxa"/>
        </w:tblCellMar>
      </w:tblPr>
      <w:tblGrid>
        <w:gridCol w:w="884"/>
        <w:gridCol w:w="2468"/>
        <w:gridCol w:w="2147"/>
        <w:gridCol w:w="1765"/>
        <w:gridCol w:w="1835"/>
      </w:tblGrid>
      <w:tr>
        <w:tblPrEx>
          <w:tblCellMar>
            <w:top w:w="0" w:type="dxa"/>
            <w:left w:w="108" w:type="dxa"/>
            <w:bottom w:w="0" w:type="dxa"/>
            <w:right w:w="108" w:type="dxa"/>
          </w:tblCellMar>
        </w:tblPrEx>
        <w:trPr>
          <w:trHeight w:val="659" w:hRule="atLeast"/>
          <w:jc w:val="center"/>
        </w:trPr>
        <w:tc>
          <w:tcPr>
            <w:tcW w:w="486"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40" w:lineRule="exact"/>
              <w:jc w:val="center"/>
              <w:rPr>
                <w:rFonts w:ascii="宋体" w:hAnsi="宋体" w:cs="宋体"/>
                <w:snapToGrid w:val="0"/>
                <w:szCs w:val="21"/>
                <w:highlight w:val="none"/>
              </w:rPr>
            </w:pPr>
            <w:r>
              <w:rPr>
                <w:rFonts w:hint="eastAsia" w:ascii="宋体" w:hAnsi="宋体" w:cs="宋体"/>
                <w:snapToGrid w:val="0"/>
                <w:szCs w:val="21"/>
                <w:highlight w:val="none"/>
              </w:rPr>
              <w:t>序号</w:t>
            </w:r>
          </w:p>
        </w:tc>
        <w:tc>
          <w:tcPr>
            <w:tcW w:w="1356"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40" w:lineRule="exact"/>
              <w:jc w:val="center"/>
              <w:rPr>
                <w:rFonts w:ascii="宋体" w:hAnsi="宋体" w:cs="宋体"/>
                <w:snapToGrid w:val="0"/>
                <w:szCs w:val="21"/>
                <w:highlight w:val="none"/>
              </w:rPr>
            </w:pPr>
            <w:r>
              <w:rPr>
                <w:rFonts w:hint="eastAsia" w:ascii="宋体" w:hAnsi="宋体" w:cs="宋体"/>
                <w:snapToGrid w:val="0"/>
                <w:szCs w:val="21"/>
                <w:highlight w:val="none"/>
              </w:rPr>
              <w:t>耗材名称</w:t>
            </w:r>
          </w:p>
        </w:tc>
        <w:tc>
          <w:tcPr>
            <w:tcW w:w="118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40" w:lineRule="exact"/>
              <w:jc w:val="center"/>
              <w:rPr>
                <w:rFonts w:ascii="宋体" w:hAnsi="宋体" w:cs="宋体"/>
                <w:snapToGrid w:val="0"/>
                <w:szCs w:val="21"/>
                <w:highlight w:val="none"/>
              </w:rPr>
            </w:pPr>
            <w:r>
              <w:rPr>
                <w:rFonts w:hint="eastAsia" w:ascii="宋体" w:hAnsi="宋体" w:cs="宋体"/>
                <w:snapToGrid w:val="0"/>
                <w:szCs w:val="21"/>
                <w:highlight w:val="none"/>
              </w:rPr>
              <w:t>采购限价</w:t>
            </w:r>
          </w:p>
        </w:tc>
        <w:tc>
          <w:tcPr>
            <w:tcW w:w="97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40" w:lineRule="exact"/>
              <w:jc w:val="center"/>
              <w:rPr>
                <w:rFonts w:ascii="宋体" w:hAnsi="宋体" w:cs="宋体"/>
                <w:snapToGrid w:val="0"/>
                <w:szCs w:val="21"/>
                <w:highlight w:val="none"/>
              </w:rPr>
            </w:pPr>
            <w:r>
              <w:rPr>
                <w:rFonts w:hint="eastAsia" w:ascii="宋体" w:hAnsi="宋体" w:cs="宋体"/>
                <w:snapToGrid w:val="0"/>
                <w:szCs w:val="21"/>
                <w:highlight w:val="none"/>
              </w:rPr>
              <w:t>预计二年使用量</w:t>
            </w:r>
          </w:p>
        </w:tc>
        <w:tc>
          <w:tcPr>
            <w:tcW w:w="1006"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40" w:lineRule="exact"/>
              <w:jc w:val="center"/>
              <w:rPr>
                <w:rFonts w:ascii="宋体" w:hAnsi="宋体" w:cs="宋体"/>
                <w:snapToGrid w:val="0"/>
                <w:szCs w:val="21"/>
                <w:highlight w:val="none"/>
              </w:rPr>
            </w:pPr>
            <w:r>
              <w:rPr>
                <w:rFonts w:hint="eastAsia" w:ascii="宋体" w:hAnsi="宋体" w:cs="宋体"/>
                <w:snapToGrid w:val="0"/>
                <w:szCs w:val="21"/>
                <w:highlight w:val="none"/>
              </w:rPr>
              <w:t>预算总价</w:t>
            </w:r>
          </w:p>
        </w:tc>
      </w:tr>
      <w:tr>
        <w:tblPrEx>
          <w:tblCellMar>
            <w:top w:w="0" w:type="dxa"/>
            <w:left w:w="108" w:type="dxa"/>
            <w:bottom w:w="0" w:type="dxa"/>
            <w:right w:w="108" w:type="dxa"/>
          </w:tblCellMar>
        </w:tblPrEx>
        <w:trPr>
          <w:trHeight w:val="659" w:hRule="atLeast"/>
          <w:jc w:val="center"/>
        </w:trPr>
        <w:tc>
          <w:tcPr>
            <w:tcW w:w="486"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40" w:lineRule="exact"/>
              <w:jc w:val="center"/>
              <w:rPr>
                <w:rFonts w:ascii="宋体" w:hAnsi="宋体" w:cs="宋体"/>
                <w:snapToGrid w:val="0"/>
                <w:szCs w:val="21"/>
                <w:highlight w:val="none"/>
              </w:rPr>
            </w:pPr>
            <w:r>
              <w:rPr>
                <w:rFonts w:hint="eastAsia" w:ascii="宋体" w:hAnsi="宋体" w:cs="宋体"/>
                <w:snapToGrid w:val="0"/>
                <w:szCs w:val="21"/>
                <w:highlight w:val="none"/>
              </w:rPr>
              <w:t>1</w:t>
            </w:r>
          </w:p>
        </w:tc>
        <w:tc>
          <w:tcPr>
            <w:tcW w:w="1356"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40" w:lineRule="exact"/>
              <w:jc w:val="center"/>
              <w:rPr>
                <w:rFonts w:ascii="宋体" w:hAnsi="宋体" w:cs="宋体"/>
                <w:snapToGrid w:val="0"/>
                <w:szCs w:val="21"/>
                <w:highlight w:val="none"/>
              </w:rPr>
            </w:pPr>
            <w:r>
              <w:rPr>
                <w:rFonts w:hint="eastAsia" w:ascii="宋体" w:hAnsi="宋体" w:cs="宋体"/>
                <w:snapToGrid w:val="0"/>
                <w:szCs w:val="21"/>
                <w:highlight w:val="none"/>
              </w:rPr>
              <w:t>持续葡萄糖监测系统</w:t>
            </w:r>
          </w:p>
        </w:tc>
        <w:tc>
          <w:tcPr>
            <w:tcW w:w="118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40" w:lineRule="exact"/>
              <w:jc w:val="center"/>
              <w:rPr>
                <w:rFonts w:ascii="宋体" w:hAnsi="宋体" w:cs="宋体"/>
                <w:snapToGrid w:val="0"/>
                <w:szCs w:val="21"/>
                <w:highlight w:val="none"/>
              </w:rPr>
            </w:pPr>
            <w:r>
              <w:rPr>
                <w:rFonts w:hint="eastAsia" w:ascii="宋体" w:hAnsi="宋体" w:cs="宋体"/>
                <w:snapToGrid w:val="0"/>
                <w:szCs w:val="21"/>
                <w:highlight w:val="none"/>
              </w:rPr>
              <w:t>600元/个</w:t>
            </w:r>
          </w:p>
        </w:tc>
        <w:tc>
          <w:tcPr>
            <w:tcW w:w="97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40" w:lineRule="exact"/>
              <w:jc w:val="center"/>
              <w:rPr>
                <w:rFonts w:ascii="宋体" w:hAnsi="宋体" w:cs="宋体"/>
                <w:snapToGrid w:val="0"/>
                <w:szCs w:val="21"/>
                <w:highlight w:val="none"/>
              </w:rPr>
            </w:pPr>
            <w:r>
              <w:rPr>
                <w:rFonts w:hint="eastAsia" w:ascii="宋体" w:hAnsi="宋体" w:cs="宋体"/>
                <w:snapToGrid w:val="0"/>
                <w:szCs w:val="21"/>
                <w:highlight w:val="none"/>
              </w:rPr>
              <w:t>400个</w:t>
            </w:r>
          </w:p>
        </w:tc>
        <w:tc>
          <w:tcPr>
            <w:tcW w:w="1006"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40" w:lineRule="exact"/>
              <w:jc w:val="center"/>
              <w:rPr>
                <w:rFonts w:ascii="宋体" w:hAnsi="宋体" w:cs="宋体"/>
                <w:snapToGrid w:val="0"/>
                <w:szCs w:val="21"/>
                <w:highlight w:val="none"/>
              </w:rPr>
            </w:pPr>
            <w:r>
              <w:rPr>
                <w:rFonts w:hint="eastAsia" w:ascii="宋体" w:hAnsi="宋体" w:cs="宋体"/>
                <w:snapToGrid w:val="0"/>
                <w:szCs w:val="21"/>
                <w:highlight w:val="none"/>
              </w:rPr>
              <w:t>24万元</w:t>
            </w:r>
          </w:p>
        </w:tc>
      </w:tr>
      <w:tr>
        <w:tblPrEx>
          <w:tblCellMar>
            <w:top w:w="0" w:type="dxa"/>
            <w:left w:w="108" w:type="dxa"/>
            <w:bottom w:w="0" w:type="dxa"/>
            <w:right w:w="108" w:type="dxa"/>
          </w:tblCellMar>
        </w:tblPrEx>
        <w:trPr>
          <w:trHeight w:val="659"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snapToGrid w:val="0"/>
              <w:spacing w:line="440" w:lineRule="exact"/>
              <w:ind w:firstLine="420" w:firstLineChars="200"/>
              <w:rPr>
                <w:rFonts w:ascii="宋体" w:hAnsi="宋体" w:cs="宋体"/>
                <w:snapToGrid w:val="0"/>
                <w:szCs w:val="21"/>
                <w:highlight w:val="none"/>
              </w:rPr>
            </w:pPr>
            <w:r>
              <w:rPr>
                <w:rFonts w:hint="eastAsia" w:ascii="宋体" w:hAnsi="宋体" w:cs="宋体"/>
                <w:snapToGrid w:val="0"/>
                <w:szCs w:val="21"/>
                <w:highlight w:val="none"/>
              </w:rPr>
              <w:t>说明：</w:t>
            </w:r>
          </w:p>
          <w:p>
            <w:pPr>
              <w:snapToGrid w:val="0"/>
              <w:spacing w:line="440" w:lineRule="exact"/>
              <w:ind w:firstLine="420" w:firstLineChars="200"/>
              <w:rPr>
                <w:rFonts w:ascii="宋体" w:hAnsi="宋体" w:cs="宋体"/>
                <w:snapToGrid w:val="0"/>
                <w:szCs w:val="21"/>
                <w:highlight w:val="none"/>
              </w:rPr>
            </w:pPr>
            <w:r>
              <w:rPr>
                <w:rFonts w:hint="eastAsia" w:ascii="宋体" w:hAnsi="宋体" w:cs="宋体"/>
                <w:snapToGrid w:val="0"/>
                <w:szCs w:val="21"/>
                <w:highlight w:val="none"/>
              </w:rPr>
              <w:t>1、投标人的投标文件必须标明所投货物的品牌与参数，保证原厂正品供货，提供相关资料等。</w:t>
            </w:r>
          </w:p>
          <w:p>
            <w:pPr>
              <w:snapToGrid w:val="0"/>
              <w:spacing w:line="440" w:lineRule="exact"/>
              <w:ind w:firstLine="420" w:firstLineChars="200"/>
              <w:rPr>
                <w:rFonts w:ascii="宋体" w:hAnsi="宋体" w:cs="宋体"/>
                <w:snapToGrid w:val="0"/>
                <w:szCs w:val="21"/>
                <w:highlight w:val="none"/>
              </w:rPr>
            </w:pPr>
            <w:r>
              <w:rPr>
                <w:rFonts w:hint="eastAsia" w:ascii="宋体" w:hAnsi="宋体" w:cs="宋体"/>
                <w:snapToGrid w:val="0"/>
                <w:szCs w:val="21"/>
                <w:highlight w:val="none"/>
              </w:rPr>
              <w:t>2、本项目耗材进入我院SPD管理。服务期内如遇国家、省医保带量采购等相关政策调整，按国家、省医保带量采购等相关政策执行。</w:t>
            </w:r>
          </w:p>
        </w:tc>
      </w:tr>
    </w:tbl>
    <w:p>
      <w:pPr>
        <w:widowControl/>
        <w:spacing w:line="440" w:lineRule="exact"/>
        <w:ind w:firstLine="422" w:firstLineChars="200"/>
        <w:rPr>
          <w:rFonts w:ascii="宋体" w:hAnsi="宋体" w:cs="宋体"/>
          <w:b/>
          <w:szCs w:val="21"/>
          <w:highlight w:val="none"/>
        </w:rPr>
      </w:pPr>
      <w:r>
        <w:rPr>
          <w:rFonts w:hint="eastAsia" w:ascii="宋体" w:hAnsi="宋体" w:cs="宋体"/>
          <w:b/>
          <w:szCs w:val="21"/>
          <w:highlight w:val="none"/>
        </w:rPr>
        <w:t>二、持续葡萄糖监测系统技术参数要求</w:t>
      </w:r>
    </w:p>
    <w:p>
      <w:pPr>
        <w:spacing w:line="440" w:lineRule="exact"/>
        <w:ind w:firstLine="420" w:firstLineChars="200"/>
        <w:rPr>
          <w:rFonts w:ascii="宋体"/>
          <w:szCs w:val="21"/>
          <w:highlight w:val="none"/>
        </w:rPr>
      </w:pPr>
      <w:r>
        <w:rPr>
          <w:rFonts w:hint="eastAsia" w:ascii="宋体"/>
          <w:szCs w:val="21"/>
          <w:highlight w:val="none"/>
        </w:rPr>
        <w:t>1、产品适用连续或定期测量18周岁及以上的成人皮下组织间液中的葡萄糖浓度。提供查房系统、科室-全院管理同步一体化系统，并配置终端，实现实时信息化建设；</w:t>
      </w:r>
    </w:p>
    <w:p>
      <w:pPr>
        <w:spacing w:line="440" w:lineRule="exact"/>
        <w:ind w:firstLine="420" w:firstLineChars="200"/>
        <w:rPr>
          <w:rFonts w:ascii="宋体"/>
          <w:szCs w:val="21"/>
          <w:highlight w:val="none"/>
        </w:rPr>
      </w:pPr>
      <w:r>
        <w:rPr>
          <w:rFonts w:hint="eastAsia" w:ascii="宋体"/>
          <w:szCs w:val="21"/>
          <w:highlight w:val="none"/>
        </w:rPr>
        <w:t>2、传感器尺寸：33.5mm×20.0mm×5.3mm；</w:t>
      </w:r>
    </w:p>
    <w:p>
      <w:pPr>
        <w:spacing w:line="440" w:lineRule="exact"/>
        <w:ind w:firstLine="420" w:firstLineChars="200"/>
        <w:rPr>
          <w:rFonts w:ascii="宋体"/>
          <w:szCs w:val="21"/>
          <w:highlight w:val="none"/>
        </w:rPr>
      </w:pPr>
      <w:r>
        <w:rPr>
          <w:rFonts w:hint="eastAsia" w:ascii="宋体"/>
          <w:szCs w:val="21"/>
          <w:highlight w:val="none"/>
        </w:rPr>
        <w:t>3、葡萄糖浓度探测范围：2.2~25mmol/L；</w:t>
      </w:r>
    </w:p>
    <w:p>
      <w:pPr>
        <w:spacing w:line="440" w:lineRule="exact"/>
        <w:ind w:firstLine="420" w:firstLineChars="200"/>
        <w:rPr>
          <w:rFonts w:ascii="宋体"/>
          <w:szCs w:val="21"/>
          <w:highlight w:val="none"/>
        </w:rPr>
      </w:pPr>
      <w:r>
        <w:rPr>
          <w:rFonts w:hint="eastAsia" w:ascii="宋体"/>
          <w:szCs w:val="21"/>
          <w:highlight w:val="none"/>
        </w:rPr>
        <w:t>★4、校准方式：无需校准；</w:t>
      </w:r>
    </w:p>
    <w:p>
      <w:pPr>
        <w:spacing w:line="440" w:lineRule="exact"/>
        <w:ind w:firstLine="420" w:firstLineChars="200"/>
        <w:rPr>
          <w:rFonts w:ascii="宋体"/>
          <w:szCs w:val="21"/>
          <w:highlight w:val="none"/>
        </w:rPr>
      </w:pPr>
      <w:r>
        <w:rPr>
          <w:rFonts w:hint="eastAsia" w:ascii="宋体"/>
          <w:szCs w:val="21"/>
          <w:highlight w:val="none"/>
        </w:rPr>
        <w:t>★5、数据记录频率：≥288笔/天；</w:t>
      </w:r>
    </w:p>
    <w:p>
      <w:pPr>
        <w:spacing w:line="440" w:lineRule="exact"/>
        <w:ind w:firstLine="420" w:firstLineChars="200"/>
        <w:rPr>
          <w:rFonts w:ascii="宋体"/>
          <w:szCs w:val="21"/>
          <w:highlight w:val="none"/>
        </w:rPr>
      </w:pPr>
      <w:r>
        <w:rPr>
          <w:rFonts w:hint="eastAsia" w:ascii="宋体"/>
          <w:szCs w:val="21"/>
          <w:highlight w:val="none"/>
        </w:rPr>
        <w:t>★6、传感器有效工作时间：≥14天；</w:t>
      </w:r>
    </w:p>
    <w:p>
      <w:pPr>
        <w:spacing w:line="440" w:lineRule="exact"/>
        <w:ind w:firstLine="420" w:firstLineChars="200"/>
        <w:rPr>
          <w:rFonts w:ascii="宋体"/>
          <w:szCs w:val="21"/>
          <w:highlight w:val="none"/>
        </w:rPr>
      </w:pPr>
      <w:r>
        <w:rPr>
          <w:rFonts w:hint="eastAsia" w:ascii="宋体"/>
          <w:szCs w:val="21"/>
          <w:highlight w:val="none"/>
        </w:rPr>
        <w:t>★7、数据储存时间：≥14天；</w:t>
      </w:r>
    </w:p>
    <w:p>
      <w:pPr>
        <w:spacing w:line="440" w:lineRule="exact"/>
        <w:ind w:firstLine="420" w:firstLineChars="200"/>
        <w:rPr>
          <w:rFonts w:ascii="宋体"/>
          <w:szCs w:val="21"/>
          <w:highlight w:val="none"/>
        </w:rPr>
      </w:pPr>
      <w:r>
        <w:rPr>
          <w:rFonts w:hint="eastAsia" w:ascii="宋体"/>
          <w:szCs w:val="21"/>
          <w:highlight w:val="none"/>
        </w:rPr>
        <w:t>8、探针长度：5mm；</w:t>
      </w:r>
    </w:p>
    <w:p>
      <w:pPr>
        <w:spacing w:line="440" w:lineRule="exact"/>
        <w:ind w:firstLine="420" w:firstLineChars="200"/>
        <w:rPr>
          <w:rFonts w:ascii="宋体"/>
          <w:szCs w:val="21"/>
          <w:highlight w:val="none"/>
        </w:rPr>
      </w:pPr>
      <w:r>
        <w:rPr>
          <w:rFonts w:hint="eastAsia" w:ascii="宋体"/>
          <w:szCs w:val="21"/>
          <w:highlight w:val="none"/>
        </w:rPr>
        <w:t>9、探针硬度：软针；</w:t>
      </w:r>
    </w:p>
    <w:p>
      <w:pPr>
        <w:spacing w:line="440" w:lineRule="exact"/>
        <w:ind w:firstLine="420" w:firstLineChars="200"/>
        <w:rPr>
          <w:rFonts w:ascii="宋体"/>
          <w:szCs w:val="21"/>
          <w:highlight w:val="none"/>
        </w:rPr>
      </w:pPr>
      <w:r>
        <w:rPr>
          <w:rFonts w:hint="eastAsia" w:ascii="宋体"/>
          <w:szCs w:val="21"/>
          <w:highlight w:val="none"/>
        </w:rPr>
        <w:t>★10、平均绝对相对误差值（MARD%）：≤8.83%；</w:t>
      </w:r>
    </w:p>
    <w:p>
      <w:pPr>
        <w:spacing w:line="440" w:lineRule="exact"/>
        <w:ind w:firstLine="420" w:firstLineChars="200"/>
        <w:rPr>
          <w:rFonts w:ascii="宋体"/>
          <w:szCs w:val="21"/>
          <w:highlight w:val="none"/>
        </w:rPr>
      </w:pPr>
      <w:r>
        <w:rPr>
          <w:rFonts w:hint="eastAsia" w:ascii="宋体"/>
          <w:szCs w:val="21"/>
          <w:highlight w:val="none"/>
        </w:rPr>
        <w:t>11、采样频次：5分钟，每天288个数据；</w:t>
      </w:r>
    </w:p>
    <w:p>
      <w:pPr>
        <w:spacing w:line="440" w:lineRule="exact"/>
        <w:ind w:firstLine="420" w:firstLineChars="200"/>
        <w:rPr>
          <w:rFonts w:ascii="宋体"/>
          <w:szCs w:val="21"/>
          <w:highlight w:val="none"/>
        </w:rPr>
      </w:pPr>
      <w:r>
        <w:rPr>
          <w:rFonts w:hint="eastAsia" w:ascii="宋体"/>
          <w:szCs w:val="21"/>
          <w:highlight w:val="none"/>
        </w:rPr>
        <w:t>12、与对照参比值20/20%误差范围内的一致率：≥91%；</w:t>
      </w:r>
    </w:p>
    <w:p>
      <w:pPr>
        <w:spacing w:line="440" w:lineRule="exact"/>
        <w:ind w:firstLine="420" w:firstLineChars="200"/>
        <w:rPr>
          <w:rFonts w:ascii="宋体"/>
          <w:szCs w:val="21"/>
          <w:highlight w:val="none"/>
        </w:rPr>
      </w:pPr>
      <w:r>
        <w:rPr>
          <w:rFonts w:hint="eastAsia" w:ascii="宋体"/>
          <w:szCs w:val="21"/>
          <w:highlight w:val="none"/>
        </w:rPr>
        <w:t>13、clarke误差删格A+B区的比例：≥99%；</w:t>
      </w:r>
    </w:p>
    <w:p>
      <w:pPr>
        <w:spacing w:line="440" w:lineRule="exact"/>
        <w:ind w:firstLine="420" w:firstLineChars="200"/>
        <w:rPr>
          <w:rFonts w:ascii="宋体"/>
          <w:szCs w:val="21"/>
          <w:highlight w:val="none"/>
        </w:rPr>
      </w:pPr>
      <w:r>
        <w:rPr>
          <w:rFonts w:hint="eastAsia" w:ascii="宋体"/>
          <w:szCs w:val="21"/>
          <w:highlight w:val="none"/>
        </w:rPr>
        <w:t>14、consensus误差删格A+B区的比例：≥99%；</w:t>
      </w:r>
    </w:p>
    <w:p>
      <w:pPr>
        <w:spacing w:line="440" w:lineRule="exact"/>
        <w:ind w:firstLine="420" w:firstLineChars="200"/>
        <w:rPr>
          <w:rFonts w:ascii="宋体"/>
          <w:szCs w:val="21"/>
          <w:highlight w:val="none"/>
        </w:rPr>
      </w:pPr>
      <w:r>
        <w:rPr>
          <w:rFonts w:hint="eastAsia" w:ascii="宋体"/>
          <w:szCs w:val="21"/>
          <w:highlight w:val="none"/>
        </w:rPr>
        <w:t>★15、传感器防水等级：不低于IPX8（可承受浸入水下1米长达1小时）；</w:t>
      </w:r>
    </w:p>
    <w:p>
      <w:pPr>
        <w:spacing w:line="440" w:lineRule="exact"/>
        <w:ind w:firstLine="420" w:firstLineChars="200"/>
        <w:rPr>
          <w:rFonts w:ascii="宋体"/>
          <w:szCs w:val="21"/>
          <w:highlight w:val="none"/>
        </w:rPr>
      </w:pPr>
      <w:r>
        <w:rPr>
          <w:rFonts w:hint="eastAsia" w:ascii="宋体"/>
          <w:szCs w:val="21"/>
          <w:highlight w:val="none"/>
        </w:rPr>
        <w:t>16、传感器组件包及敷贴器的操作温度：5℃～40℃；</w:t>
      </w:r>
    </w:p>
    <w:p>
      <w:pPr>
        <w:spacing w:line="440" w:lineRule="exact"/>
        <w:ind w:firstLine="420" w:firstLineChars="200"/>
        <w:rPr>
          <w:rFonts w:ascii="宋体"/>
          <w:szCs w:val="21"/>
          <w:highlight w:val="none"/>
        </w:rPr>
      </w:pPr>
      <w:r>
        <w:rPr>
          <w:rFonts w:hint="eastAsia" w:ascii="宋体"/>
          <w:szCs w:val="21"/>
          <w:highlight w:val="none"/>
        </w:rPr>
        <w:t>17、传感器组件包及敷贴器的运输相对温度：4℃～25℃；</w:t>
      </w:r>
    </w:p>
    <w:p>
      <w:pPr>
        <w:spacing w:line="440" w:lineRule="exact"/>
        <w:ind w:firstLine="420" w:firstLineChars="200"/>
        <w:rPr>
          <w:rFonts w:ascii="宋体"/>
          <w:szCs w:val="21"/>
          <w:highlight w:val="none"/>
        </w:rPr>
      </w:pPr>
      <w:r>
        <w:rPr>
          <w:rFonts w:hint="eastAsia" w:ascii="宋体"/>
          <w:szCs w:val="21"/>
          <w:highlight w:val="none"/>
        </w:rPr>
        <w:t>18、传感器组件包及敷贴器的运输相对湿度：10%～90%；</w:t>
      </w:r>
    </w:p>
    <w:p>
      <w:pPr>
        <w:spacing w:line="440" w:lineRule="exact"/>
        <w:ind w:firstLine="420" w:firstLineChars="200"/>
        <w:rPr>
          <w:rFonts w:ascii="宋体"/>
          <w:szCs w:val="21"/>
          <w:highlight w:val="none"/>
        </w:rPr>
      </w:pPr>
      <w:r>
        <w:rPr>
          <w:rFonts w:hint="eastAsia" w:ascii="宋体"/>
          <w:szCs w:val="21"/>
          <w:highlight w:val="none"/>
        </w:rPr>
        <w:t>★19、耗材套件无需充电；</w:t>
      </w:r>
    </w:p>
    <w:p>
      <w:pPr>
        <w:spacing w:line="440" w:lineRule="exact"/>
        <w:ind w:firstLine="420" w:firstLineChars="200"/>
        <w:rPr>
          <w:rFonts w:ascii="宋体"/>
          <w:szCs w:val="21"/>
          <w:highlight w:val="none"/>
        </w:rPr>
      </w:pPr>
      <w:r>
        <w:rPr>
          <w:rFonts w:hint="eastAsia" w:ascii="宋体"/>
          <w:szCs w:val="21"/>
          <w:highlight w:val="none"/>
        </w:rPr>
        <w:t>★20、操作简单便捷，一步植入，无需组装贴敷；</w:t>
      </w:r>
    </w:p>
    <w:p>
      <w:pPr>
        <w:spacing w:line="440" w:lineRule="exact"/>
        <w:ind w:firstLine="420" w:firstLineChars="200"/>
        <w:rPr>
          <w:rFonts w:ascii="宋体"/>
          <w:szCs w:val="21"/>
          <w:highlight w:val="none"/>
        </w:rPr>
      </w:pPr>
      <w:r>
        <w:rPr>
          <w:rFonts w:hint="eastAsia" w:ascii="宋体"/>
          <w:szCs w:val="21"/>
          <w:highlight w:val="none"/>
        </w:rPr>
        <w:t>21、数据可实时上传，可提供持续葡萄糖监测系统个人APP，实现亲友、医生数据共享，远程监护多人共管；</w:t>
      </w:r>
    </w:p>
    <w:p>
      <w:pPr>
        <w:spacing w:line="440" w:lineRule="exact"/>
        <w:ind w:firstLine="420" w:firstLineChars="200"/>
        <w:rPr>
          <w:rFonts w:ascii="宋体"/>
          <w:szCs w:val="21"/>
          <w:highlight w:val="none"/>
        </w:rPr>
      </w:pPr>
      <w:r>
        <w:rPr>
          <w:rFonts w:hint="eastAsia" w:ascii="宋体"/>
          <w:szCs w:val="21"/>
          <w:highlight w:val="none"/>
        </w:rPr>
        <w:t>★22、可提供医生APP，实现一机多患者管理。</w:t>
      </w:r>
    </w:p>
    <w:p>
      <w:pPr>
        <w:widowControl/>
        <w:spacing w:line="440" w:lineRule="exact"/>
        <w:ind w:firstLine="422" w:firstLineChars="200"/>
        <w:rPr>
          <w:rFonts w:ascii="宋体" w:hAnsi="宋体" w:cs="宋体"/>
          <w:b/>
          <w:szCs w:val="21"/>
          <w:highlight w:val="none"/>
        </w:rPr>
      </w:pPr>
      <w:r>
        <w:rPr>
          <w:rFonts w:hint="eastAsia" w:ascii="宋体" w:hAnsi="宋体" w:cs="宋体"/>
          <w:b/>
          <w:szCs w:val="21"/>
          <w:highlight w:val="none"/>
        </w:rPr>
        <w:t>三、质量要求</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投标人提供的货物必须完全符合国家规定的质量标准和相关行业标准，均为厂家全新、原装，并完全符合招标文件规定的质量、规格和技术参数的要求。</w:t>
      </w:r>
    </w:p>
    <w:p>
      <w:pPr>
        <w:spacing w:line="440" w:lineRule="exact"/>
        <w:ind w:left="420"/>
        <w:jc w:val="left"/>
        <w:rPr>
          <w:rFonts w:ascii="宋体" w:hAnsi="宋体" w:cs="宋体"/>
          <w:b/>
          <w:bCs/>
          <w:szCs w:val="21"/>
          <w:highlight w:val="none"/>
        </w:rPr>
      </w:pPr>
      <w:r>
        <w:rPr>
          <w:rFonts w:hint="eastAsia" w:ascii="宋体" w:hAnsi="宋体" w:cs="宋体"/>
          <w:b/>
          <w:bCs/>
          <w:szCs w:val="21"/>
          <w:highlight w:val="none"/>
        </w:rPr>
        <w:t>四、质保期要求</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质保期需执行厂家质保，产品生产日期要求近期（距离有效期或使用期限到期时间不得超过三分之一时间），如发现有接近失效期的产品，中标人应三天内更换成近期产品。</w:t>
      </w:r>
    </w:p>
    <w:p>
      <w:pPr>
        <w:spacing w:line="440" w:lineRule="exact"/>
        <w:ind w:firstLine="422" w:firstLineChars="200"/>
        <w:jc w:val="left"/>
        <w:rPr>
          <w:rFonts w:ascii="宋体" w:hAnsi="宋体" w:cs="宋体"/>
          <w:szCs w:val="21"/>
          <w:highlight w:val="none"/>
        </w:rPr>
      </w:pPr>
      <w:r>
        <w:rPr>
          <w:rFonts w:hint="eastAsia" w:ascii="宋体" w:hAnsi="宋体" w:cs="宋体"/>
          <w:b/>
          <w:bCs/>
          <w:szCs w:val="21"/>
          <w:highlight w:val="none"/>
        </w:rPr>
        <w:t>五、供货及售后要求</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1、投标人接到招标人供货通知，根据招标人通知的规格型号和数量按计划送货，按照招标人要求送至指定地点，负责运输。</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2、中标人根据招标人采购计划进行供货，不允许超计划供货，超出计划的数量，招标人不予验收入库，由中标人无条件带回。</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3、中标人所投的品牌货物在使用过程中出现质量和使用问题，招标人有权要求更换，直至招标人满意，且不再另行支付任何费用。</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4、按招标人实际需求进行供货，中标人须无条件满足招标人需求，确保供货质量并及时供货。</w:t>
      </w:r>
    </w:p>
    <w:p>
      <w:pPr>
        <w:widowControl/>
        <w:spacing w:line="440" w:lineRule="exact"/>
        <w:ind w:firstLine="422" w:firstLineChars="200"/>
        <w:rPr>
          <w:rFonts w:ascii="宋体" w:hAnsi="宋体" w:cs="宋体"/>
          <w:b/>
          <w:szCs w:val="21"/>
          <w:highlight w:val="none"/>
        </w:rPr>
      </w:pPr>
      <w:r>
        <w:rPr>
          <w:rFonts w:hint="eastAsia" w:ascii="宋体" w:hAnsi="宋体" w:cs="宋体"/>
          <w:b/>
          <w:szCs w:val="21"/>
          <w:highlight w:val="none"/>
        </w:rPr>
        <w:t>六、验收</w:t>
      </w:r>
    </w:p>
    <w:p>
      <w:pPr>
        <w:spacing w:line="440" w:lineRule="exact"/>
        <w:ind w:firstLine="420" w:firstLineChars="200"/>
        <w:rPr>
          <w:rFonts w:ascii="宋体" w:hAnsi="宋体" w:cs="宋体"/>
          <w:szCs w:val="21"/>
          <w:highlight w:val="none"/>
          <w:lang w:val="zh-CN"/>
        </w:rPr>
      </w:pPr>
      <w:r>
        <w:rPr>
          <w:rFonts w:hint="eastAsia" w:ascii="宋体" w:hAnsi="宋体" w:cs="宋体"/>
          <w:szCs w:val="21"/>
          <w:highlight w:val="none"/>
        </w:rPr>
        <w:t>招标人和中标人双方共同实施验收工作，验收合格后，结果和验收报告经双方确认后生效。</w:t>
      </w:r>
    </w:p>
    <w:p>
      <w:pPr>
        <w:snapToGrid w:val="0"/>
        <w:spacing w:line="440" w:lineRule="exact"/>
        <w:ind w:firstLine="422" w:firstLineChars="200"/>
        <w:rPr>
          <w:rFonts w:ascii="宋体" w:hAnsi="宋体" w:cs="宋体"/>
          <w:b/>
          <w:bCs/>
          <w:snapToGrid w:val="0"/>
          <w:szCs w:val="21"/>
          <w:highlight w:val="none"/>
        </w:rPr>
      </w:pPr>
      <w:r>
        <w:rPr>
          <w:rFonts w:hint="eastAsia" w:ascii="宋体" w:hAnsi="宋体" w:cs="宋体"/>
          <w:b/>
          <w:bCs/>
          <w:snapToGrid w:val="0"/>
          <w:szCs w:val="21"/>
          <w:highlight w:val="none"/>
        </w:rPr>
        <w:t>七、报价要求</w:t>
      </w:r>
    </w:p>
    <w:p>
      <w:pPr>
        <w:spacing w:line="440" w:lineRule="exact"/>
        <w:ind w:firstLine="420" w:firstLineChars="200"/>
        <w:rPr>
          <w:rFonts w:ascii="宋体" w:hAnsi="宋体" w:cs="宋体"/>
          <w:szCs w:val="21"/>
          <w:highlight w:val="none"/>
        </w:rPr>
      </w:pPr>
      <w:r>
        <w:rPr>
          <w:rFonts w:hint="eastAsia" w:ascii="宋体" w:hAnsi="宋体" w:cs="宋体"/>
          <w:snapToGrid w:val="0"/>
          <w:szCs w:val="21"/>
          <w:highlight w:val="none"/>
        </w:rPr>
        <w:t>投标人按单价进行报价，</w:t>
      </w:r>
      <w:r>
        <w:rPr>
          <w:rFonts w:hint="eastAsia" w:ascii="宋体" w:hAnsi="宋体" w:cs="宋体"/>
          <w:bCs/>
          <w:snapToGrid w:val="0"/>
          <w:szCs w:val="21"/>
          <w:highlight w:val="none"/>
        </w:rPr>
        <w:t>其单价</w:t>
      </w:r>
      <w:r>
        <w:rPr>
          <w:rFonts w:hint="eastAsia"/>
          <w:szCs w:val="21"/>
          <w:highlight w:val="none"/>
        </w:rPr>
        <w:t>报价不得超过单价最高限价。</w:t>
      </w:r>
      <w:r>
        <w:rPr>
          <w:rFonts w:hint="eastAsia" w:ascii="宋体" w:hAnsi="宋体" w:cs="宋体"/>
          <w:szCs w:val="21"/>
          <w:highlight w:val="none"/>
        </w:rPr>
        <w:t>报价应包含产品费用、</w:t>
      </w:r>
      <w:r>
        <w:rPr>
          <w:rFonts w:ascii="宋体" w:hAnsi="宋体" w:cs="宋体"/>
          <w:szCs w:val="21"/>
          <w:highlight w:val="none"/>
        </w:rPr>
        <w:t>运费(多次分批量送货</w:t>
      </w:r>
      <w:r>
        <w:rPr>
          <w:rFonts w:hint="eastAsia" w:ascii="宋体" w:hAnsi="宋体" w:cs="宋体"/>
          <w:szCs w:val="21"/>
          <w:highlight w:val="none"/>
        </w:rPr>
        <w:t>，含装卸力资）、</w:t>
      </w:r>
      <w:r>
        <w:rPr>
          <w:rFonts w:ascii="宋体" w:hAnsi="宋体" w:cs="宋体"/>
          <w:szCs w:val="21"/>
          <w:highlight w:val="none"/>
        </w:rPr>
        <w:t>税费</w:t>
      </w:r>
      <w:r>
        <w:rPr>
          <w:rFonts w:hint="eastAsia" w:ascii="宋体" w:hAnsi="宋体" w:cs="宋体"/>
          <w:szCs w:val="21"/>
          <w:highlight w:val="none"/>
        </w:rPr>
        <w:t>、</w:t>
      </w:r>
      <w:r>
        <w:rPr>
          <w:rFonts w:hint="eastAsia" w:ascii="宋体" w:hAnsi="宋体" w:cs="宋体"/>
          <w:szCs w:val="21"/>
          <w:highlight w:val="none"/>
          <w:lang w:val="zh-CN"/>
        </w:rPr>
        <w:t>检验</w:t>
      </w:r>
      <w:r>
        <w:rPr>
          <w:rFonts w:hint="eastAsia" w:ascii="宋体" w:hAnsi="宋体" w:cs="宋体"/>
          <w:szCs w:val="21"/>
          <w:highlight w:val="none"/>
        </w:rPr>
        <w:t>费</w:t>
      </w:r>
      <w:r>
        <w:rPr>
          <w:rFonts w:hint="eastAsia" w:ascii="宋体" w:hAnsi="宋体" w:cs="宋体"/>
          <w:szCs w:val="21"/>
          <w:highlight w:val="none"/>
          <w:lang w:val="zh-CN"/>
        </w:rPr>
        <w:t>、</w:t>
      </w:r>
      <w:r>
        <w:rPr>
          <w:rFonts w:ascii="宋体" w:hAnsi="宋体" w:cs="宋体"/>
          <w:szCs w:val="21"/>
          <w:highlight w:val="none"/>
        </w:rPr>
        <w:t>保险费、</w:t>
      </w:r>
      <w:r>
        <w:rPr>
          <w:rFonts w:hint="eastAsia" w:ascii="宋体" w:hAnsi="宋体" w:cs="宋体"/>
          <w:szCs w:val="21"/>
          <w:highlight w:val="none"/>
        </w:rPr>
        <w:t>仓储费、包装费、培训、系统使用费、售后服务等为完成本项目所必须的其他辅助工作的相关费用等所有费用。投标人应结合采购需求及自身情况合理报价，一旦中标，中标单价后期将不作任何调整。</w:t>
      </w:r>
    </w:p>
    <w:p>
      <w:pPr>
        <w:widowControl/>
        <w:spacing w:line="440" w:lineRule="exact"/>
        <w:ind w:firstLine="422" w:firstLineChars="200"/>
        <w:rPr>
          <w:rFonts w:ascii="宋体" w:hAnsi="宋体" w:cs="宋体"/>
          <w:b/>
          <w:szCs w:val="21"/>
          <w:highlight w:val="none"/>
        </w:rPr>
      </w:pPr>
      <w:r>
        <w:rPr>
          <w:rFonts w:hint="eastAsia" w:ascii="宋体" w:hAnsi="宋体" w:cs="宋体"/>
          <w:b/>
          <w:szCs w:val="21"/>
          <w:highlight w:val="none"/>
        </w:rPr>
        <w:t>八、付款方式</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widowControl/>
        <w:spacing w:line="440" w:lineRule="exact"/>
        <w:ind w:firstLine="420" w:firstLineChars="200"/>
        <w:rPr>
          <w:highlight w:val="none"/>
        </w:rPr>
      </w:pPr>
      <w:r>
        <w:rPr>
          <w:rFonts w:hint="eastAsia" w:ascii="宋体" w:hAnsi="宋体" w:cs="宋体"/>
          <w:szCs w:val="21"/>
          <w:highlight w:val="none"/>
        </w:rPr>
        <w:t>本项目一次性规划，分步实施，按实结算，货到验收合格、收到正规发票后6个月内付款。</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4E760DEC"/>
    <w:rsid w:val="4E760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before="100" w:after="100"/>
      <w:jc w:val="center"/>
      <w:outlineLvl w:val="0"/>
    </w:pPr>
    <w:rPr>
      <w:b/>
      <w:bCs/>
      <w:kern w:val="44"/>
      <w:sz w:val="32"/>
      <w:szCs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First Indent"/>
    <w:basedOn w:val="6"/>
    <w:qFormat/>
    <w:uiPriority w:val="0"/>
    <w:pPr>
      <w:tabs>
        <w:tab w:val="left" w:pos="567"/>
      </w:tabs>
      <w:spacing w:after="120"/>
      <w:ind w:firstLine="420" w:firstLineChars="100"/>
    </w:pPr>
  </w:style>
  <w:style w:type="paragraph" w:styleId="6">
    <w:name w:val="Body Text"/>
    <w:basedOn w:val="1"/>
    <w:next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2022-10-24T09:20:00Z</dcterms:created>
  <dc:creator>lenovo</dc:creator>
  <cp:lastModifiedBy>lenovo</cp:lastModifiedBy>
  <dcterms:modified xsi:type="dcterms:W3CDTF">2022-10-24T09:20:51Z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A94A83DC62604DF29AE6AEC035063E79</vt:lpwstr>
  </property>
</Properties>
</file>