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color w:val="000000"/>
          <w:highlight w:val="none"/>
        </w:rPr>
      </w:pPr>
      <w:bookmarkStart w:id="0" w:name="_Toc490233120"/>
      <w:bookmarkStart w:id="1" w:name="_Toc12616"/>
      <w:r>
        <w:rPr>
          <w:rFonts w:hint="eastAsia"/>
          <w:color w:val="000000"/>
          <w:highlight w:val="none"/>
        </w:rPr>
        <w:t>货物需求及技术要求</w:t>
      </w:r>
      <w:bookmarkEnd w:id="0"/>
      <w:bookmarkEnd w:id="1"/>
    </w:p>
    <w:p>
      <w:pPr>
        <w:widowControl/>
        <w:spacing w:line="440" w:lineRule="exact"/>
        <w:ind w:firstLine="422" w:firstLineChars="200"/>
        <w:rPr>
          <w:rFonts w:ascii="宋体" w:hAnsi="宋体" w:cs="宋体"/>
          <w:b/>
          <w:szCs w:val="21"/>
          <w:highlight w:val="none"/>
        </w:rPr>
      </w:pPr>
      <w:bookmarkStart w:id="2" w:name="_Toc7241"/>
      <w:bookmarkStart w:id="3" w:name="_Toc24523"/>
      <w:bookmarkStart w:id="4" w:name="_Toc12315"/>
      <w:r>
        <w:rPr>
          <w:rFonts w:hint="eastAsia" w:ascii="宋体" w:hAnsi="宋体" w:cs="宋体"/>
          <w:b/>
          <w:szCs w:val="21"/>
          <w:highlight w:val="none"/>
        </w:rPr>
        <w:t>一、采购需求</w:t>
      </w:r>
      <w:bookmarkStart w:id="5" w:name="_Toc50276204"/>
      <w:bookmarkStart w:id="6" w:name="_Toc175644394"/>
      <w:bookmarkStart w:id="7" w:name="_Toc272497418"/>
      <w:bookmarkStart w:id="8" w:name="_Toc50276165"/>
      <w:bookmarkStart w:id="9" w:name="_Toc42313172"/>
      <w:bookmarkStart w:id="10" w:name="_Toc41884706"/>
      <w:bookmarkStart w:id="11" w:name="_Toc101951263"/>
      <w:bookmarkStart w:id="12" w:name="_Toc46308531"/>
      <w:bookmarkStart w:id="13" w:name="_Toc98579069"/>
      <w:bookmarkStart w:id="14" w:name="_Toc98579610"/>
      <w:bookmarkStart w:id="15" w:name="_Toc41723936"/>
      <w:bookmarkStart w:id="16" w:name="_Toc42394673"/>
      <w:bookmarkStart w:id="17" w:name="_Toc98580293"/>
      <w:bookmarkStart w:id="18" w:name="_Toc273520768"/>
      <w:bookmarkStart w:id="19" w:name="_Toc101771372"/>
      <w:bookmarkStart w:id="20" w:name="_Toc98035089"/>
      <w:bookmarkStart w:id="21" w:name="_Toc46308687"/>
      <w:bookmarkStart w:id="22" w:name="_Toc101843125"/>
      <w:bookmarkStart w:id="23" w:name="_Toc42394517"/>
      <w:bookmarkStart w:id="24" w:name="_Toc98579011"/>
      <w:bookmarkStart w:id="25" w:name="_Toc101775125"/>
    </w:p>
    <w:tbl>
      <w:tblPr>
        <w:tblStyle w:val="9"/>
        <w:tblW w:w="47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552"/>
        <w:gridCol w:w="1372"/>
        <w:gridCol w:w="896"/>
        <w:gridCol w:w="1876"/>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88" w:type="pct"/>
            <w:vAlign w:val="center"/>
          </w:tcPr>
          <w:p>
            <w:pPr>
              <w:spacing w:line="440" w:lineRule="exact"/>
              <w:jc w:val="center"/>
              <w:rPr>
                <w:rFonts w:ascii="宋体"/>
                <w:szCs w:val="21"/>
                <w:highlight w:val="none"/>
              </w:rPr>
            </w:pPr>
            <w:r>
              <w:rPr>
                <w:rFonts w:hint="eastAsia" w:ascii="宋体"/>
                <w:szCs w:val="21"/>
                <w:highlight w:val="none"/>
              </w:rPr>
              <w:t>序号</w:t>
            </w:r>
          </w:p>
        </w:tc>
        <w:tc>
          <w:tcPr>
            <w:tcW w:w="1373" w:type="pct"/>
            <w:vAlign w:val="center"/>
          </w:tcPr>
          <w:p>
            <w:pPr>
              <w:spacing w:line="440" w:lineRule="exact"/>
              <w:jc w:val="center"/>
              <w:rPr>
                <w:rFonts w:ascii="宋体"/>
                <w:szCs w:val="21"/>
                <w:highlight w:val="none"/>
              </w:rPr>
            </w:pPr>
            <w:r>
              <w:rPr>
                <w:rFonts w:hint="eastAsia" w:ascii="宋体"/>
                <w:szCs w:val="21"/>
                <w:highlight w:val="none"/>
              </w:rPr>
              <w:t>货物名称</w:t>
            </w:r>
          </w:p>
        </w:tc>
        <w:tc>
          <w:tcPr>
            <w:tcW w:w="738" w:type="pct"/>
            <w:vAlign w:val="center"/>
          </w:tcPr>
          <w:p>
            <w:pPr>
              <w:spacing w:line="440" w:lineRule="exact"/>
              <w:jc w:val="center"/>
              <w:rPr>
                <w:rFonts w:ascii="宋体"/>
                <w:szCs w:val="21"/>
                <w:highlight w:val="none"/>
              </w:rPr>
            </w:pPr>
            <w:r>
              <w:rPr>
                <w:rFonts w:hint="eastAsia" w:ascii="宋体"/>
                <w:szCs w:val="21"/>
                <w:highlight w:val="none"/>
              </w:rPr>
              <w:t>规格型号</w:t>
            </w:r>
          </w:p>
        </w:tc>
        <w:tc>
          <w:tcPr>
            <w:tcW w:w="482" w:type="pct"/>
            <w:vAlign w:val="center"/>
          </w:tcPr>
          <w:p>
            <w:pPr>
              <w:spacing w:line="440" w:lineRule="exact"/>
              <w:jc w:val="center"/>
              <w:rPr>
                <w:rFonts w:ascii="宋体"/>
                <w:szCs w:val="21"/>
                <w:highlight w:val="none"/>
              </w:rPr>
            </w:pPr>
            <w:r>
              <w:rPr>
                <w:rFonts w:hint="eastAsia" w:ascii="宋体"/>
                <w:szCs w:val="21"/>
                <w:highlight w:val="none"/>
              </w:rPr>
              <w:t>单位</w:t>
            </w:r>
          </w:p>
        </w:tc>
        <w:tc>
          <w:tcPr>
            <w:tcW w:w="1009" w:type="pct"/>
            <w:vAlign w:val="center"/>
          </w:tcPr>
          <w:p>
            <w:pPr>
              <w:spacing w:line="440" w:lineRule="exact"/>
              <w:jc w:val="center"/>
              <w:rPr>
                <w:rFonts w:ascii="宋体"/>
                <w:szCs w:val="21"/>
                <w:highlight w:val="none"/>
              </w:rPr>
            </w:pPr>
            <w:r>
              <w:rPr>
                <w:rFonts w:hint="eastAsia" w:ascii="宋体"/>
                <w:szCs w:val="21"/>
                <w:highlight w:val="none"/>
              </w:rPr>
              <w:t>预计二年使用量</w:t>
            </w:r>
          </w:p>
        </w:tc>
        <w:tc>
          <w:tcPr>
            <w:tcW w:w="1007" w:type="pct"/>
            <w:vAlign w:val="center"/>
          </w:tcPr>
          <w:p>
            <w:pPr>
              <w:spacing w:line="440" w:lineRule="exact"/>
              <w:jc w:val="center"/>
              <w:rPr>
                <w:rFonts w:ascii="宋体"/>
                <w:szCs w:val="21"/>
                <w:highlight w:val="none"/>
              </w:rPr>
            </w:pPr>
            <w:r>
              <w:rPr>
                <w:rFonts w:hint="eastAsia" w:ascii="宋体"/>
                <w:szCs w:val="21"/>
                <w:highlight w:val="none"/>
              </w:rPr>
              <w:t>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88" w:type="pct"/>
            <w:vAlign w:val="center"/>
          </w:tcPr>
          <w:p>
            <w:pPr>
              <w:spacing w:line="440" w:lineRule="exact"/>
              <w:jc w:val="center"/>
              <w:rPr>
                <w:rFonts w:ascii="宋体"/>
                <w:szCs w:val="21"/>
                <w:highlight w:val="none"/>
              </w:rPr>
            </w:pPr>
            <w:r>
              <w:rPr>
                <w:rFonts w:hint="eastAsia" w:ascii="宋体"/>
                <w:szCs w:val="21"/>
                <w:highlight w:val="none"/>
              </w:rPr>
              <w:t>1</w:t>
            </w:r>
          </w:p>
        </w:tc>
        <w:tc>
          <w:tcPr>
            <w:tcW w:w="1373" w:type="pct"/>
            <w:vAlign w:val="center"/>
          </w:tcPr>
          <w:p>
            <w:pPr>
              <w:spacing w:line="440" w:lineRule="exact"/>
              <w:jc w:val="center"/>
              <w:rPr>
                <w:rFonts w:ascii="宋体"/>
                <w:szCs w:val="21"/>
                <w:highlight w:val="none"/>
              </w:rPr>
            </w:pPr>
            <w:r>
              <w:rPr>
                <w:rFonts w:hint="eastAsia" w:ascii="宋体"/>
                <w:szCs w:val="21"/>
                <w:highlight w:val="none"/>
              </w:rPr>
              <w:t>一次性使用负压引流器</w:t>
            </w:r>
          </w:p>
        </w:tc>
        <w:tc>
          <w:tcPr>
            <w:tcW w:w="738" w:type="pct"/>
            <w:vAlign w:val="center"/>
          </w:tcPr>
          <w:p>
            <w:pPr>
              <w:spacing w:line="440" w:lineRule="exact"/>
              <w:jc w:val="center"/>
              <w:rPr>
                <w:rFonts w:ascii="宋体"/>
                <w:szCs w:val="21"/>
                <w:highlight w:val="none"/>
              </w:rPr>
            </w:pPr>
            <w:r>
              <w:rPr>
                <w:rFonts w:hint="eastAsia" w:ascii="宋体"/>
                <w:szCs w:val="21"/>
                <w:highlight w:val="none"/>
              </w:rPr>
              <w:t>1000ml</w:t>
            </w:r>
          </w:p>
        </w:tc>
        <w:tc>
          <w:tcPr>
            <w:tcW w:w="482" w:type="pct"/>
            <w:vAlign w:val="center"/>
          </w:tcPr>
          <w:p>
            <w:pPr>
              <w:spacing w:line="440" w:lineRule="exact"/>
              <w:jc w:val="center"/>
              <w:rPr>
                <w:rFonts w:ascii="宋体"/>
                <w:szCs w:val="21"/>
                <w:highlight w:val="none"/>
              </w:rPr>
            </w:pPr>
            <w:r>
              <w:rPr>
                <w:rFonts w:hint="eastAsia" w:ascii="宋体"/>
                <w:szCs w:val="21"/>
                <w:highlight w:val="none"/>
              </w:rPr>
              <w:t>个</w:t>
            </w:r>
          </w:p>
        </w:tc>
        <w:tc>
          <w:tcPr>
            <w:tcW w:w="1009" w:type="pct"/>
            <w:vAlign w:val="center"/>
          </w:tcPr>
          <w:p>
            <w:pPr>
              <w:spacing w:line="440" w:lineRule="exact"/>
              <w:jc w:val="center"/>
              <w:rPr>
                <w:rFonts w:ascii="宋体"/>
                <w:szCs w:val="21"/>
                <w:highlight w:val="none"/>
              </w:rPr>
            </w:pPr>
            <w:r>
              <w:rPr>
                <w:rFonts w:hint="eastAsia" w:ascii="宋体"/>
                <w:szCs w:val="21"/>
                <w:highlight w:val="none"/>
              </w:rPr>
              <w:t>3.4万个</w:t>
            </w:r>
          </w:p>
        </w:tc>
        <w:tc>
          <w:tcPr>
            <w:tcW w:w="1007" w:type="pct"/>
            <w:vAlign w:val="center"/>
          </w:tcPr>
          <w:p>
            <w:pPr>
              <w:spacing w:line="440" w:lineRule="exact"/>
              <w:jc w:val="center"/>
              <w:rPr>
                <w:rFonts w:ascii="宋体"/>
                <w:szCs w:val="21"/>
                <w:highlight w:val="none"/>
              </w:rPr>
            </w:pPr>
            <w:r>
              <w:rPr>
                <w:rFonts w:hint="eastAsia" w:ascii="宋体"/>
                <w:szCs w:val="21"/>
                <w:highlight w:val="none"/>
              </w:rPr>
              <w:t>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000" w:type="pct"/>
            <w:gridSpan w:val="6"/>
            <w:vAlign w:val="center"/>
          </w:tcPr>
          <w:p>
            <w:pPr>
              <w:spacing w:line="440" w:lineRule="exact"/>
              <w:rPr>
                <w:rFonts w:ascii="宋体"/>
                <w:szCs w:val="21"/>
                <w:highlight w:val="none"/>
              </w:rPr>
            </w:pPr>
            <w:r>
              <w:rPr>
                <w:rFonts w:hint="eastAsia" w:ascii="宋体"/>
                <w:szCs w:val="21"/>
                <w:highlight w:val="none"/>
              </w:rPr>
              <w:t>说明：</w:t>
            </w:r>
          </w:p>
          <w:p>
            <w:pPr>
              <w:spacing w:line="440" w:lineRule="exact"/>
              <w:ind w:firstLine="420" w:firstLineChars="200"/>
              <w:rPr>
                <w:rFonts w:ascii="宋体"/>
                <w:szCs w:val="21"/>
                <w:highlight w:val="none"/>
              </w:rPr>
            </w:pPr>
            <w:r>
              <w:rPr>
                <w:rFonts w:hint="eastAsia" w:ascii="宋体"/>
                <w:szCs w:val="21"/>
                <w:highlight w:val="none"/>
              </w:rPr>
              <w:t>1、投标人的投标文件必须标明所投货物的品牌与参数，保证原厂正品供货，提供相关资料等。</w:t>
            </w:r>
          </w:p>
          <w:p>
            <w:pPr>
              <w:spacing w:line="440" w:lineRule="exact"/>
              <w:ind w:firstLine="420" w:firstLineChars="200"/>
              <w:rPr>
                <w:rFonts w:ascii="宋体"/>
                <w:szCs w:val="21"/>
                <w:highlight w:val="none"/>
              </w:rPr>
            </w:pPr>
            <w:r>
              <w:rPr>
                <w:rFonts w:hint="eastAsia" w:ascii="宋体"/>
                <w:szCs w:val="21"/>
                <w:highlight w:val="none"/>
              </w:rPr>
              <w:t>2、本项目耗材进入我院SPD管理。服务期内如遇国家、省医保带量采购等相关政策调整，按国家、省医保带量采购等相关政策执行。</w:t>
            </w:r>
          </w:p>
          <w:p>
            <w:pPr>
              <w:spacing w:line="440" w:lineRule="exact"/>
              <w:ind w:firstLine="420" w:firstLineChars="200"/>
              <w:rPr>
                <w:rFonts w:ascii="宋体"/>
                <w:szCs w:val="21"/>
                <w:highlight w:val="none"/>
              </w:rPr>
            </w:pPr>
            <w:r>
              <w:rPr>
                <w:rFonts w:hint="eastAsia" w:ascii="宋体"/>
                <w:szCs w:val="21"/>
                <w:highlight w:val="none"/>
              </w:rPr>
              <w:t>3、预计二年使用量仅代表医院过去二年使用该耗材的估量，仅供投标人报价时参考。</w:t>
            </w:r>
          </w:p>
          <w:p>
            <w:pPr>
              <w:spacing w:line="440" w:lineRule="exact"/>
              <w:ind w:firstLine="422" w:firstLineChars="200"/>
              <w:rPr>
                <w:rFonts w:ascii="宋体"/>
                <w:szCs w:val="21"/>
                <w:highlight w:val="none"/>
              </w:rPr>
            </w:pPr>
            <w:r>
              <w:rPr>
                <w:rFonts w:hint="eastAsia" w:ascii="宋体" w:hAnsi="宋体" w:cs="宋体"/>
                <w:b/>
                <w:bCs/>
                <w:snapToGrid w:val="0"/>
                <w:szCs w:val="21"/>
                <w:highlight w:val="none"/>
              </w:rPr>
              <w:t>4、</w:t>
            </w:r>
            <w:r>
              <w:rPr>
                <w:rFonts w:hint="eastAsia" w:ascii="宋体" w:hAnsi="宋体" w:cs="宋体"/>
                <w:b/>
                <w:bCs/>
                <w:color w:val="000000"/>
                <w:szCs w:val="21"/>
                <w:highlight w:val="none"/>
              </w:rPr>
              <w:t>投标人在投标时须提供</w:t>
            </w:r>
            <w:r>
              <w:rPr>
                <w:rFonts w:hint="eastAsia" w:ascii="宋体"/>
                <w:b/>
                <w:bCs/>
                <w:szCs w:val="21"/>
                <w:highlight w:val="none"/>
              </w:rPr>
              <w:t>一次性使用负压引流器</w:t>
            </w:r>
            <w:r>
              <w:rPr>
                <w:rFonts w:hint="eastAsia" w:ascii="宋体" w:hAnsi="宋体" w:cs="宋体"/>
                <w:b/>
                <w:bCs/>
                <w:color w:val="000000"/>
                <w:szCs w:val="21"/>
                <w:highlight w:val="none"/>
              </w:rPr>
              <w:t>样品。</w:t>
            </w:r>
          </w:p>
        </w:tc>
      </w:tr>
    </w:tbl>
    <w:p>
      <w:pPr>
        <w:widowControl/>
        <w:spacing w:line="440" w:lineRule="exact"/>
        <w:ind w:firstLine="422" w:firstLineChars="200"/>
        <w:rPr>
          <w:rFonts w:ascii="宋体" w:hAnsi="宋体" w:cs="宋体"/>
          <w:b/>
          <w:szCs w:val="21"/>
          <w:highlight w:val="none"/>
        </w:rPr>
      </w:pPr>
      <w:r>
        <w:rPr>
          <w:rFonts w:hint="eastAsia" w:ascii="宋体" w:hAnsi="宋体" w:cs="宋体"/>
          <w:b/>
          <w:szCs w:val="21"/>
          <w:highlight w:val="none"/>
        </w:rPr>
        <w:t>二、</w:t>
      </w:r>
      <w:r>
        <w:rPr>
          <w:rFonts w:hint="eastAsia" w:ascii="宋体"/>
          <w:b/>
          <w:szCs w:val="21"/>
          <w:highlight w:val="none"/>
        </w:rPr>
        <w:t>一次性使用负压引流器</w:t>
      </w:r>
      <w:r>
        <w:rPr>
          <w:rFonts w:hint="eastAsia" w:ascii="宋体" w:hAnsi="宋体" w:cs="宋体"/>
          <w:b/>
          <w:szCs w:val="21"/>
          <w:highlight w:val="none"/>
        </w:rPr>
        <w:t>技术参数要求</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★1、采用符合GB/T15593的软聚氯乙烯塑料制成。</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2、分白色和蓝色两种规格，容量为1000ml。</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3、产品经环氧乙烷灭菌，一次性使用。</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★4、独立连接管，长度≥80cm。</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★5、负压不小于-2.67KPa。</w:t>
      </w:r>
    </w:p>
    <w:p>
      <w:pPr>
        <w:widowControl/>
        <w:shd w:val="clear" w:color="auto" w:fill="FFFFFF"/>
        <w:spacing w:line="440" w:lineRule="exact"/>
        <w:ind w:left="-420" w:leftChars="-200" w:firstLine="843" w:firstLineChars="400"/>
        <w:contextualSpacing/>
        <w:jc w:val="left"/>
        <w:rPr>
          <w:rFonts w:ascii="宋体" w:hAnsi="宋体" w:cs="宋体"/>
          <w:b/>
          <w:szCs w:val="21"/>
          <w:highlight w:val="none"/>
        </w:rPr>
      </w:pPr>
      <w:r>
        <w:rPr>
          <w:rFonts w:hint="eastAsia" w:ascii="宋体" w:hAnsi="宋体" w:cs="宋体"/>
          <w:b/>
          <w:szCs w:val="21"/>
          <w:highlight w:val="none"/>
        </w:rPr>
        <w:t>三、投标样品要求</w:t>
      </w:r>
    </w:p>
    <w:tbl>
      <w:tblPr>
        <w:tblStyle w:val="9"/>
        <w:tblW w:w="45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2519"/>
        <w:gridCol w:w="3569"/>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04"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序号</w:t>
            </w:r>
          </w:p>
        </w:tc>
        <w:tc>
          <w:tcPr>
            <w:tcW w:w="1406"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样品名称</w:t>
            </w:r>
          </w:p>
        </w:tc>
        <w:tc>
          <w:tcPr>
            <w:tcW w:w="1992"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规格型号</w:t>
            </w:r>
          </w:p>
        </w:tc>
        <w:tc>
          <w:tcPr>
            <w:tcW w:w="1096"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4"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1406" w:type="pct"/>
            <w:vAlign w:val="center"/>
          </w:tcPr>
          <w:p>
            <w:pPr>
              <w:widowControl/>
              <w:spacing w:line="440" w:lineRule="exact"/>
              <w:jc w:val="center"/>
              <w:rPr>
                <w:rFonts w:ascii="宋体" w:hAnsi="宋体" w:cs="宋体"/>
                <w:kern w:val="0"/>
                <w:szCs w:val="21"/>
                <w:highlight w:val="none"/>
              </w:rPr>
            </w:pPr>
            <w:r>
              <w:rPr>
                <w:rFonts w:hint="eastAsia" w:ascii="宋体"/>
                <w:szCs w:val="21"/>
                <w:highlight w:val="none"/>
              </w:rPr>
              <w:t>一次性使用负压引流器</w:t>
            </w:r>
          </w:p>
        </w:tc>
        <w:tc>
          <w:tcPr>
            <w:tcW w:w="1992" w:type="pct"/>
            <w:vAlign w:val="center"/>
          </w:tcPr>
          <w:p>
            <w:pPr>
              <w:widowControl/>
              <w:spacing w:line="440" w:lineRule="exact"/>
              <w:jc w:val="center"/>
              <w:rPr>
                <w:rFonts w:ascii="宋体" w:hAnsi="宋体" w:cs="宋体"/>
                <w:kern w:val="0"/>
                <w:szCs w:val="21"/>
                <w:highlight w:val="none"/>
              </w:rPr>
            </w:pPr>
            <w:r>
              <w:rPr>
                <w:rFonts w:hint="eastAsia" w:ascii="宋体"/>
                <w:szCs w:val="21"/>
                <w:highlight w:val="none"/>
              </w:rPr>
              <w:t>1000ml</w:t>
            </w:r>
          </w:p>
        </w:tc>
        <w:tc>
          <w:tcPr>
            <w:tcW w:w="1096"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1个</w:t>
            </w:r>
          </w:p>
        </w:tc>
      </w:tr>
    </w:tbl>
    <w:p>
      <w:pPr>
        <w:spacing w:line="440" w:lineRule="exact"/>
        <w:ind w:firstLine="420" w:firstLineChars="200"/>
        <w:rPr>
          <w:rFonts w:ascii="宋体" w:hAnsi="宋体" w:cs="宋体"/>
          <w:szCs w:val="21"/>
          <w:highlight w:val="none"/>
        </w:rPr>
      </w:pPr>
      <w:r>
        <w:rPr>
          <w:rFonts w:hint="eastAsia" w:ascii="宋体" w:hAnsi="宋体" w:cs="宋体"/>
          <w:szCs w:val="21"/>
          <w:highlight w:val="none"/>
        </w:rPr>
        <w:t>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1、每张样品上必须标明规格型号；</w:t>
      </w:r>
    </w:p>
    <w:p>
      <w:pPr>
        <w:spacing w:line="440" w:lineRule="exact"/>
        <w:ind w:firstLine="422" w:firstLineChars="200"/>
        <w:rPr>
          <w:rFonts w:ascii="宋体" w:hAnsi="宋体" w:cs="宋体"/>
          <w:b/>
          <w:bCs/>
          <w:szCs w:val="21"/>
          <w:highlight w:val="none"/>
        </w:rPr>
      </w:pPr>
      <w:r>
        <w:rPr>
          <w:rFonts w:hint="eastAsia" w:ascii="宋体" w:hAnsi="宋体" w:cs="宋体"/>
          <w:b/>
          <w:bCs/>
          <w:szCs w:val="21"/>
          <w:highlight w:val="none"/>
        </w:rPr>
        <w:t>2、投标人提供承诺，承诺其样品与其投标文件“技术参数响应情况”表中应答的内容和描述一致；</w:t>
      </w:r>
    </w:p>
    <w:p>
      <w:pPr>
        <w:widowControl/>
        <w:spacing w:line="440" w:lineRule="exact"/>
        <w:ind w:firstLine="420" w:firstLineChars="200"/>
        <w:rPr>
          <w:rFonts w:ascii="宋体"/>
          <w:szCs w:val="21"/>
          <w:highlight w:val="none"/>
        </w:rPr>
      </w:pPr>
      <w:r>
        <w:rPr>
          <w:rFonts w:hint="eastAsia" w:ascii="宋体" w:hAnsi="宋体" w:cs="宋体"/>
          <w:szCs w:val="21"/>
          <w:highlight w:val="none"/>
        </w:rPr>
        <w:t>3、</w:t>
      </w:r>
      <w:r>
        <w:rPr>
          <w:rFonts w:hint="eastAsia" w:ascii="宋体"/>
          <w:szCs w:val="21"/>
          <w:highlight w:val="none"/>
        </w:rPr>
        <w:t>投标人应在投标时根据招标文件要求提供所投产品样品，样品不得与投标文件混装，须单独密封，招标人及招标代理机构对投标人所递交样品的破损或质量不负任何责任。其样品费用由投标人自行承担，招标人不再另行支付。中标单位的产品样品由招标人封存保留，作为后期的验收依据，未中标单位样品在招标结束后退回，采用邮寄方式的，邮寄费用由投标人支付。</w:t>
      </w:r>
    </w:p>
    <w:p>
      <w:pPr>
        <w:widowControl/>
        <w:spacing w:line="440" w:lineRule="exact"/>
        <w:ind w:firstLine="422" w:firstLineChars="200"/>
        <w:rPr>
          <w:rFonts w:ascii="宋体" w:hAnsi="宋体" w:cs="宋体"/>
          <w:b/>
          <w:szCs w:val="21"/>
          <w:highlight w:val="none"/>
        </w:rPr>
      </w:pPr>
      <w:r>
        <w:rPr>
          <w:rFonts w:hint="eastAsia" w:ascii="宋体" w:hAnsi="宋体" w:cs="宋体"/>
          <w:b/>
          <w:szCs w:val="21"/>
          <w:highlight w:val="none"/>
        </w:rPr>
        <w:t>四、质量要求</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投标人提供的货物必须完全符合国家规定的质量标准和相关行业标准，均为厂家全新、原装、正宗产品，并完全符合招标文件规定的质量、规格和技术参数的要求。</w:t>
      </w:r>
    </w:p>
    <w:p>
      <w:pPr>
        <w:spacing w:line="440" w:lineRule="exact"/>
        <w:ind w:left="420"/>
        <w:jc w:val="left"/>
        <w:rPr>
          <w:rFonts w:ascii="宋体" w:hAnsi="宋体" w:cs="宋体"/>
          <w:b/>
          <w:bCs/>
          <w:szCs w:val="21"/>
          <w:highlight w:val="none"/>
        </w:rPr>
      </w:pPr>
      <w:r>
        <w:rPr>
          <w:rFonts w:hint="eastAsia" w:ascii="宋体" w:hAnsi="宋体" w:cs="宋体"/>
          <w:b/>
          <w:bCs/>
          <w:szCs w:val="21"/>
          <w:highlight w:val="none"/>
        </w:rPr>
        <w:t>五、质保期要求</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质保期需执行厂家质保，产品生产日期要求近期（距离有效期或使用期限到期时间不得超过三分之一时间），如发现有接近失效期的产品，中标人应三天内更换成近期产品。</w:t>
      </w:r>
    </w:p>
    <w:p>
      <w:pPr>
        <w:spacing w:line="440" w:lineRule="exact"/>
        <w:ind w:firstLine="422" w:firstLineChars="200"/>
        <w:jc w:val="left"/>
        <w:rPr>
          <w:rFonts w:ascii="宋体" w:hAnsi="宋体" w:cs="宋体"/>
          <w:szCs w:val="21"/>
          <w:highlight w:val="none"/>
        </w:rPr>
      </w:pPr>
      <w:r>
        <w:rPr>
          <w:rFonts w:hint="eastAsia" w:ascii="宋体" w:hAnsi="宋体" w:cs="宋体"/>
          <w:b/>
          <w:bCs/>
          <w:szCs w:val="21"/>
          <w:highlight w:val="none"/>
        </w:rPr>
        <w:t>六、供货及售后要求</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1、投标人接到招标人供货通知，根据招标人通知的规格型号和数量按计划送货，按照招标人要求送至指定地点，负责运输。</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2、中标人根据招标人采购计划进行供货，不允许超计划供货，超出计划的数量，招标人不予验收入库，由中标人无条件带回。</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3、中标人所投的品牌货物在使用过程中出现质量和使用问题，招标人有权要求更换，直至招标人满意，且不再另行支付任何费用。</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4、按招标人实际需求进行供货，中标人须无条件满足招标人需求，确保供货质量并及时供货。</w:t>
      </w:r>
    </w:p>
    <w:p>
      <w:pPr>
        <w:widowControl/>
        <w:spacing w:line="440" w:lineRule="exact"/>
        <w:ind w:firstLine="422" w:firstLineChars="200"/>
        <w:rPr>
          <w:rFonts w:ascii="宋体" w:hAnsi="宋体" w:cs="宋体"/>
          <w:b/>
          <w:szCs w:val="21"/>
          <w:highlight w:val="none"/>
        </w:rPr>
      </w:pPr>
      <w:r>
        <w:rPr>
          <w:rFonts w:hint="eastAsia" w:ascii="宋体" w:hAnsi="宋体" w:cs="宋体"/>
          <w:b/>
          <w:szCs w:val="21"/>
          <w:highlight w:val="none"/>
        </w:rPr>
        <w:t>七、验收</w:t>
      </w:r>
    </w:p>
    <w:p>
      <w:pPr>
        <w:spacing w:line="440" w:lineRule="exact"/>
        <w:ind w:firstLine="420" w:firstLineChars="200"/>
        <w:rPr>
          <w:rFonts w:ascii="宋体" w:hAnsi="宋体" w:cs="宋体"/>
          <w:szCs w:val="21"/>
          <w:highlight w:val="none"/>
          <w:lang w:val="zh-CN"/>
        </w:rPr>
      </w:pPr>
      <w:r>
        <w:rPr>
          <w:rFonts w:hint="eastAsia" w:ascii="宋体" w:hAnsi="宋体" w:cs="宋体"/>
          <w:szCs w:val="21"/>
          <w:highlight w:val="none"/>
        </w:rPr>
        <w:t>招标人和中标人双方共同实施验收工作，验收合格后，结果和验收报告经双方确认后生效。</w:t>
      </w:r>
    </w:p>
    <w:p>
      <w:pPr>
        <w:snapToGrid w:val="0"/>
        <w:spacing w:line="440" w:lineRule="exact"/>
        <w:ind w:firstLine="422" w:firstLineChars="200"/>
        <w:rPr>
          <w:rFonts w:ascii="宋体" w:hAnsi="宋体" w:cs="宋体"/>
          <w:b/>
          <w:bCs/>
          <w:snapToGrid w:val="0"/>
          <w:szCs w:val="21"/>
          <w:highlight w:val="none"/>
        </w:rPr>
      </w:pPr>
      <w:r>
        <w:rPr>
          <w:rFonts w:hint="eastAsia" w:ascii="宋体" w:hAnsi="宋体" w:cs="宋体"/>
          <w:b/>
          <w:bCs/>
          <w:snapToGrid w:val="0"/>
          <w:szCs w:val="21"/>
          <w:highlight w:val="none"/>
        </w:rPr>
        <w:t>八、报价要求</w:t>
      </w:r>
    </w:p>
    <w:p>
      <w:pPr>
        <w:spacing w:line="440" w:lineRule="exact"/>
        <w:ind w:firstLine="420" w:firstLineChars="200"/>
        <w:rPr>
          <w:rFonts w:ascii="宋体" w:hAnsi="宋体" w:cs="宋体"/>
          <w:szCs w:val="21"/>
          <w:highlight w:val="none"/>
        </w:rPr>
      </w:pPr>
      <w:r>
        <w:rPr>
          <w:rFonts w:hint="eastAsia" w:ascii="宋体" w:hAnsi="宋体" w:cs="宋体"/>
          <w:snapToGrid w:val="0"/>
          <w:szCs w:val="21"/>
          <w:highlight w:val="none"/>
        </w:rPr>
        <w:t>投标人按单价进行报价，</w:t>
      </w:r>
      <w:r>
        <w:rPr>
          <w:rFonts w:hint="eastAsia" w:ascii="宋体" w:hAnsi="宋体" w:cs="宋体"/>
          <w:bCs/>
          <w:snapToGrid w:val="0"/>
          <w:szCs w:val="21"/>
          <w:highlight w:val="none"/>
        </w:rPr>
        <w:t>其单价</w:t>
      </w:r>
      <w:r>
        <w:rPr>
          <w:rFonts w:hint="eastAsia"/>
          <w:szCs w:val="21"/>
          <w:highlight w:val="none"/>
        </w:rPr>
        <w:t>报价不得超过单价最高限价。</w:t>
      </w:r>
      <w:r>
        <w:rPr>
          <w:rFonts w:hint="eastAsia" w:ascii="宋体" w:hAnsi="宋体" w:cs="宋体"/>
          <w:szCs w:val="21"/>
          <w:highlight w:val="none"/>
        </w:rPr>
        <w:t>报价应包含产品费用、</w:t>
      </w:r>
      <w:r>
        <w:rPr>
          <w:rFonts w:ascii="宋体" w:hAnsi="宋体" w:cs="宋体"/>
          <w:szCs w:val="21"/>
          <w:highlight w:val="none"/>
        </w:rPr>
        <w:t>运费(多次分批量送货</w:t>
      </w:r>
      <w:r>
        <w:rPr>
          <w:rFonts w:hint="eastAsia" w:ascii="宋体" w:hAnsi="宋体" w:cs="宋体"/>
          <w:szCs w:val="21"/>
          <w:highlight w:val="none"/>
        </w:rPr>
        <w:t>，含装卸力资）、</w:t>
      </w:r>
      <w:r>
        <w:rPr>
          <w:rFonts w:ascii="宋体" w:hAnsi="宋体" w:cs="宋体"/>
          <w:szCs w:val="21"/>
          <w:highlight w:val="none"/>
        </w:rPr>
        <w:t>税费</w:t>
      </w:r>
      <w:r>
        <w:rPr>
          <w:rFonts w:hint="eastAsia" w:ascii="宋体" w:hAnsi="宋体" w:cs="宋体"/>
          <w:szCs w:val="21"/>
          <w:highlight w:val="none"/>
        </w:rPr>
        <w:t>、</w:t>
      </w:r>
      <w:r>
        <w:rPr>
          <w:rFonts w:hint="eastAsia" w:ascii="宋体" w:hAnsi="宋体" w:cs="宋体"/>
          <w:szCs w:val="21"/>
          <w:highlight w:val="none"/>
          <w:lang w:val="zh-CN"/>
        </w:rPr>
        <w:t>检验</w:t>
      </w:r>
      <w:r>
        <w:rPr>
          <w:rFonts w:hint="eastAsia" w:ascii="宋体" w:hAnsi="宋体" w:cs="宋体"/>
          <w:szCs w:val="21"/>
          <w:highlight w:val="none"/>
        </w:rPr>
        <w:t>费</w:t>
      </w:r>
      <w:r>
        <w:rPr>
          <w:rFonts w:hint="eastAsia" w:ascii="宋体" w:hAnsi="宋体" w:cs="宋体"/>
          <w:szCs w:val="21"/>
          <w:highlight w:val="none"/>
          <w:lang w:val="zh-CN"/>
        </w:rPr>
        <w:t>、</w:t>
      </w:r>
      <w:r>
        <w:rPr>
          <w:rFonts w:ascii="宋体" w:hAnsi="宋体" w:cs="宋体"/>
          <w:szCs w:val="21"/>
          <w:highlight w:val="none"/>
        </w:rPr>
        <w:t>保险费、</w:t>
      </w:r>
      <w:r>
        <w:rPr>
          <w:rFonts w:hint="eastAsia" w:ascii="宋体" w:hAnsi="宋体" w:cs="宋体"/>
          <w:szCs w:val="21"/>
          <w:highlight w:val="none"/>
        </w:rPr>
        <w:t>仓储费、包装费、售后服务等为完成本项目所必须的其他辅助工作的相关费用等所有费用。投标人应结合采购需求及自身情况合理报价，一旦中标，中标单价后期将不作任何调整。</w:t>
      </w:r>
    </w:p>
    <w:p>
      <w:pPr>
        <w:widowControl/>
        <w:spacing w:line="440" w:lineRule="exact"/>
        <w:ind w:firstLine="422" w:firstLineChars="200"/>
        <w:rPr>
          <w:rFonts w:ascii="宋体" w:hAnsi="宋体" w:cs="宋体"/>
          <w:b/>
          <w:szCs w:val="21"/>
          <w:highlight w:val="none"/>
        </w:rPr>
      </w:pPr>
      <w:r>
        <w:rPr>
          <w:rFonts w:hint="eastAsia" w:ascii="宋体" w:hAnsi="宋体" w:cs="宋体"/>
          <w:b/>
          <w:szCs w:val="21"/>
          <w:highlight w:val="none"/>
        </w:rPr>
        <w:t>九、付款方式</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widowControl/>
        <w:spacing w:line="440" w:lineRule="exact"/>
        <w:ind w:firstLine="420" w:firstLineChars="200"/>
        <w:rPr>
          <w:highlight w:val="none"/>
        </w:rPr>
      </w:pPr>
      <w:r>
        <w:rPr>
          <w:rFonts w:hint="eastAsia" w:ascii="宋体" w:hAnsi="宋体" w:cs="宋体"/>
          <w:szCs w:val="21"/>
          <w:highlight w:val="none"/>
        </w:rPr>
        <w:t>本项目一次性规划，分步实施，按实结算，货到验收合格、收到正规发票后6个月内付款。</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243621F6"/>
    <w:rsid w:val="24362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100" w:after="100"/>
      <w:jc w:val="center"/>
      <w:outlineLvl w:val="0"/>
    </w:pPr>
    <w:rPr>
      <w:b/>
      <w:bCs/>
      <w:kern w:val="44"/>
      <w:sz w:val="32"/>
      <w:szCs w:val="44"/>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First Indent"/>
    <w:basedOn w:val="6"/>
    <w:qFormat/>
    <w:uiPriority w:val="0"/>
    <w:pPr>
      <w:tabs>
        <w:tab w:val="left" w:pos="567"/>
      </w:tabs>
      <w:spacing w:after="120"/>
      <w:ind w:firstLine="420" w:firstLineChars="100"/>
    </w:pPr>
  </w:style>
  <w:style w:type="paragraph" w:styleId="6">
    <w:name w:val="Body Text"/>
    <w:basedOn w:val="1"/>
    <w:next w:val="1"/>
    <w:qFormat/>
    <w:uiPriority w:val="0"/>
    <w:pPr>
      <w:tabs>
        <w:tab w:val="left" w:pos="567"/>
      </w:tabs>
      <w:spacing w:before="120" w:line="22" w:lineRule="atLeast"/>
    </w:pPr>
    <w:rPr>
      <w:rFonts w:ascii="宋体" w:hAnsi="宋体"/>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2022-10-24T09:14:00Z</dcterms:created>
  <dc:creator>lenovo</dc:creator>
  <cp:lastModifiedBy>lenovo</cp:lastModifiedBy>
  <dcterms:modified xsi:type="dcterms:W3CDTF">2022-10-24T09:15:11Z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28A17F5484E645F784ADF6D382A2019A</vt:lpwstr>
  </property>
</Properties>
</file>