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color w:val="000000"/>
          <w:highlight w:val="none"/>
        </w:rPr>
      </w:pPr>
      <w:bookmarkStart w:id="0" w:name="_Toc12616"/>
      <w:bookmarkStart w:id="1" w:name="_Toc490233120"/>
      <w:r>
        <w:rPr>
          <w:rFonts w:hint="eastAsia"/>
          <w:color w:val="000000"/>
          <w:highlight w:val="none"/>
        </w:rPr>
        <w:t>货物需求及技术要求</w:t>
      </w:r>
      <w:bookmarkEnd w:id="0"/>
      <w:bookmarkEnd w:id="1"/>
    </w:p>
    <w:p>
      <w:pPr>
        <w:widowControl/>
        <w:spacing w:line="440" w:lineRule="exact"/>
        <w:ind w:firstLine="422" w:firstLineChars="200"/>
        <w:rPr>
          <w:rFonts w:hint="eastAsia" w:ascii="宋体" w:hAnsi="宋体" w:eastAsia="宋体" w:cs="宋体"/>
          <w:b/>
          <w:szCs w:val="21"/>
          <w:highlight w:val="none"/>
          <w:lang w:eastAsia="zh-CN"/>
        </w:rPr>
      </w:pPr>
      <w:bookmarkStart w:id="2" w:name="_Toc12315"/>
      <w:bookmarkStart w:id="3" w:name="_Toc24523"/>
      <w:bookmarkStart w:id="4" w:name="_Toc7241"/>
      <w:r>
        <w:rPr>
          <w:rFonts w:hint="eastAsia" w:ascii="宋体" w:hAnsi="宋体" w:cs="宋体"/>
          <w:b/>
          <w:szCs w:val="21"/>
          <w:highlight w:val="none"/>
        </w:rPr>
        <w:t>一、采购</w:t>
      </w:r>
      <w:bookmarkStart w:id="5" w:name="_Toc41723936"/>
      <w:bookmarkStart w:id="6" w:name="_Toc98579610"/>
      <w:bookmarkStart w:id="7" w:name="_Toc46308687"/>
      <w:bookmarkStart w:id="8" w:name="_Toc175644394"/>
      <w:bookmarkStart w:id="9" w:name="_Toc42313172"/>
      <w:bookmarkStart w:id="10" w:name="_Toc98035089"/>
      <w:bookmarkStart w:id="11" w:name="_Toc98579011"/>
      <w:bookmarkStart w:id="12" w:name="_Toc98579069"/>
      <w:bookmarkStart w:id="13" w:name="_Toc42394517"/>
      <w:bookmarkStart w:id="14" w:name="_Toc42394673"/>
      <w:bookmarkStart w:id="15" w:name="_Toc50276204"/>
      <w:bookmarkStart w:id="16" w:name="_Toc98580293"/>
      <w:bookmarkStart w:id="17" w:name="_Toc41884706"/>
      <w:bookmarkStart w:id="18" w:name="_Toc101771372"/>
      <w:bookmarkStart w:id="19" w:name="_Toc50276165"/>
      <w:bookmarkStart w:id="20" w:name="_Toc101951263"/>
      <w:bookmarkStart w:id="21" w:name="_Toc101843125"/>
      <w:bookmarkStart w:id="22" w:name="_Toc273520768"/>
      <w:bookmarkStart w:id="23" w:name="_Toc101775125"/>
      <w:bookmarkStart w:id="24" w:name="_Toc272497418"/>
      <w:bookmarkStart w:id="25" w:name="_Toc46308531"/>
      <w:r>
        <w:rPr>
          <w:rFonts w:hint="eastAsia" w:ascii="宋体" w:hAnsi="宋体" w:cs="宋体"/>
          <w:b/>
          <w:szCs w:val="21"/>
          <w:highlight w:val="none"/>
          <w:lang w:val="en-US" w:eastAsia="zh-CN"/>
        </w:rPr>
        <w:t>内容</w:t>
      </w:r>
    </w:p>
    <w:tbl>
      <w:tblPr>
        <w:tblStyle w:val="5"/>
        <w:tblW w:w="497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3"/>
        <w:gridCol w:w="1461"/>
        <w:gridCol w:w="4214"/>
        <w:gridCol w:w="950"/>
        <w:gridCol w:w="1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338" w:type="pct"/>
            <w:vAlign w:val="center"/>
          </w:tcPr>
          <w:p>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序号</w:t>
            </w:r>
          </w:p>
        </w:tc>
        <w:tc>
          <w:tcPr>
            <w:tcW w:w="861" w:type="pct"/>
            <w:vAlign w:val="center"/>
          </w:tcPr>
          <w:p>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货物名称</w:t>
            </w:r>
          </w:p>
        </w:tc>
        <w:tc>
          <w:tcPr>
            <w:tcW w:w="2484" w:type="pct"/>
            <w:vAlign w:val="center"/>
          </w:tcPr>
          <w:p>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技术参数</w:t>
            </w:r>
          </w:p>
        </w:tc>
        <w:tc>
          <w:tcPr>
            <w:tcW w:w="560" w:type="pct"/>
            <w:vAlign w:val="center"/>
          </w:tcPr>
          <w:p>
            <w:pPr>
              <w:jc w:val="center"/>
              <w:rPr>
                <w:rFonts w:hint="eastAsia" w:ascii="宋体" w:hAnsi="宋体" w:eastAsia="宋体" w:cs="宋体"/>
                <w:color w:val="000000"/>
                <w:sz w:val="21"/>
                <w:szCs w:val="21"/>
                <w:highlight w:val="none"/>
              </w:rPr>
            </w:pPr>
            <w:r>
              <w:rPr>
                <w:rFonts w:hint="eastAsia" w:ascii="宋体" w:hAnsi="宋体" w:eastAsia="宋体" w:cs="宋体"/>
                <w:snapToGrid w:val="0"/>
                <w:sz w:val="21"/>
                <w:szCs w:val="21"/>
                <w:highlight w:val="none"/>
              </w:rPr>
              <w:t>预计两年使用量</w:t>
            </w:r>
          </w:p>
        </w:tc>
        <w:tc>
          <w:tcPr>
            <w:tcW w:w="755" w:type="pct"/>
            <w:vAlign w:val="center"/>
          </w:tcPr>
          <w:p>
            <w:pPr>
              <w:jc w:val="center"/>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单价最高限价</w:t>
            </w:r>
            <w:r>
              <w:rPr>
                <w:rFonts w:hint="eastAsia" w:ascii="宋体" w:hAnsi="宋体" w:cs="宋体"/>
                <w:color w:val="000000"/>
                <w:sz w:val="21"/>
                <w:szCs w:val="21"/>
                <w:highlight w:val="none"/>
                <w:lang w:eastAsia="zh-CN"/>
              </w:rPr>
              <w:t>（</w:t>
            </w:r>
            <w:r>
              <w:rPr>
                <w:rFonts w:hint="eastAsia" w:ascii="宋体" w:hAnsi="宋体" w:cs="宋体"/>
                <w:color w:val="000000"/>
                <w:sz w:val="21"/>
                <w:szCs w:val="21"/>
                <w:highlight w:val="none"/>
                <w:lang w:val="en-US" w:eastAsia="zh-CN"/>
              </w:rPr>
              <w:t>元</w:t>
            </w:r>
            <w:r>
              <w:rPr>
                <w:rFonts w:hint="eastAsia" w:ascii="宋体" w:hAnsi="宋体" w:cs="宋体"/>
                <w:color w:val="000000"/>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38" w:type="pct"/>
            <w:vAlign w:val="center"/>
          </w:tcPr>
          <w:p>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1</w:t>
            </w:r>
          </w:p>
        </w:tc>
        <w:tc>
          <w:tcPr>
            <w:tcW w:w="861" w:type="pct"/>
            <w:vAlign w:val="center"/>
          </w:tcPr>
          <w:p>
            <w:pPr>
              <w:jc w:val="center"/>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抗A抗B血型</w:t>
            </w:r>
          </w:p>
          <w:p>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定型试剂</w:t>
            </w:r>
          </w:p>
        </w:tc>
        <w:tc>
          <w:tcPr>
            <w:tcW w:w="2484" w:type="pct"/>
            <w:vAlign w:val="center"/>
          </w:tcPr>
          <w:p>
            <w:pPr>
              <w:jc w:val="left"/>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val="en-US" w:eastAsia="zh-CN"/>
              </w:rPr>
              <w:t>规格10ml</w:t>
            </w:r>
            <w:r>
              <w:rPr>
                <w:rFonts w:hint="default" w:ascii="宋体" w:hAnsi="宋体" w:eastAsia="宋体" w:cs="宋体"/>
                <w:color w:val="000000"/>
                <w:sz w:val="21"/>
                <w:szCs w:val="21"/>
                <w:highlight w:val="none"/>
                <w:lang w:val="en-US" w:eastAsia="zh-CN"/>
              </w:rPr>
              <w:t>×</w:t>
            </w:r>
            <w:r>
              <w:rPr>
                <w:rFonts w:hint="eastAsia" w:ascii="宋体" w:hAnsi="宋体" w:eastAsia="宋体" w:cs="宋体"/>
                <w:color w:val="000000"/>
                <w:sz w:val="21"/>
                <w:szCs w:val="21"/>
                <w:highlight w:val="none"/>
                <w:lang w:val="en-US" w:eastAsia="zh-CN"/>
              </w:rPr>
              <w:t>2，专用于定性鉴定人ABO血型（正定型）由抗A血型定型试剂、抗B血型定型试剂各1支组成，2-8℃避光保存，有效期24个月。</w:t>
            </w:r>
          </w:p>
        </w:tc>
        <w:tc>
          <w:tcPr>
            <w:tcW w:w="1111" w:type="dxa"/>
            <w:vAlign w:val="center"/>
          </w:tcPr>
          <w:p>
            <w:pPr>
              <w:jc w:val="center"/>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80盒</w:t>
            </w:r>
          </w:p>
        </w:tc>
        <w:tc>
          <w:tcPr>
            <w:tcW w:w="1501" w:type="dxa"/>
            <w:vAlign w:val="center"/>
          </w:tcPr>
          <w:p>
            <w:pPr>
              <w:jc w:val="center"/>
              <w:rPr>
                <w:rFonts w:hint="default"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38" w:type="pct"/>
            <w:vAlign w:val="center"/>
          </w:tcPr>
          <w:p>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2</w:t>
            </w:r>
          </w:p>
        </w:tc>
        <w:tc>
          <w:tcPr>
            <w:tcW w:w="861" w:type="pct"/>
            <w:vAlign w:val="center"/>
          </w:tcPr>
          <w:p>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塑料吸管</w:t>
            </w:r>
          </w:p>
        </w:tc>
        <w:tc>
          <w:tcPr>
            <w:tcW w:w="2484" w:type="pct"/>
            <w:vAlign w:val="center"/>
          </w:tcPr>
          <w:p>
            <w:pPr>
              <w:jc w:val="left"/>
              <w:rPr>
                <w:rFonts w:hint="default" w:ascii="宋体" w:hAnsi="宋体" w:eastAsia="宋体" w:cs="宋体"/>
                <w:color w:val="000000"/>
                <w:sz w:val="21"/>
                <w:szCs w:val="21"/>
                <w:highlight w:val="none"/>
                <w:lang w:val="en-US"/>
              </w:rPr>
            </w:pPr>
            <w:r>
              <w:rPr>
                <w:rFonts w:hint="eastAsia" w:ascii="宋体" w:hAnsi="宋体" w:eastAsia="宋体" w:cs="宋体"/>
                <w:color w:val="000000"/>
                <w:sz w:val="21"/>
                <w:szCs w:val="21"/>
                <w:highlight w:val="none"/>
                <w:lang w:val="en-US" w:eastAsia="zh-CN"/>
              </w:rPr>
              <w:t>规格0.5ml，500支/袋一次性使用。</w:t>
            </w:r>
          </w:p>
        </w:tc>
        <w:tc>
          <w:tcPr>
            <w:tcW w:w="1111" w:type="dxa"/>
            <w:vAlign w:val="center"/>
          </w:tcPr>
          <w:p>
            <w:pPr>
              <w:jc w:val="center"/>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240袋</w:t>
            </w:r>
          </w:p>
        </w:tc>
        <w:tc>
          <w:tcPr>
            <w:tcW w:w="1501" w:type="dxa"/>
            <w:vAlign w:val="center"/>
          </w:tcPr>
          <w:p>
            <w:pPr>
              <w:jc w:val="center"/>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38" w:type="pct"/>
            <w:vAlign w:val="center"/>
          </w:tcPr>
          <w:p>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3</w:t>
            </w:r>
          </w:p>
        </w:tc>
        <w:tc>
          <w:tcPr>
            <w:tcW w:w="861" w:type="pct"/>
            <w:vAlign w:val="center"/>
          </w:tcPr>
          <w:p>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12</w:t>
            </w:r>
            <w:r>
              <w:rPr>
                <w:rFonts w:hint="default" w:ascii="宋体" w:hAnsi="宋体" w:eastAsia="宋体" w:cs="宋体"/>
                <w:color w:val="000000"/>
                <w:sz w:val="21"/>
                <w:szCs w:val="21"/>
                <w:highlight w:val="none"/>
                <w:lang w:val="en-US" w:eastAsia="zh-CN"/>
              </w:rPr>
              <w:t>×</w:t>
            </w:r>
            <w:r>
              <w:rPr>
                <w:rFonts w:hint="eastAsia" w:ascii="宋体" w:hAnsi="宋体" w:eastAsia="宋体" w:cs="宋体"/>
                <w:color w:val="000000"/>
                <w:sz w:val="21"/>
                <w:szCs w:val="21"/>
                <w:highlight w:val="none"/>
                <w:lang w:val="en-US" w:eastAsia="zh-CN"/>
              </w:rPr>
              <w:t>100放免管</w:t>
            </w:r>
          </w:p>
        </w:tc>
        <w:tc>
          <w:tcPr>
            <w:tcW w:w="2484" w:type="pct"/>
            <w:vAlign w:val="center"/>
          </w:tcPr>
          <w:p>
            <w:pPr>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规格12</w:t>
            </w:r>
            <w:r>
              <w:rPr>
                <w:rFonts w:hint="default" w:ascii="宋体" w:hAnsi="宋体" w:eastAsia="宋体" w:cs="宋体"/>
                <w:color w:val="000000"/>
                <w:sz w:val="21"/>
                <w:szCs w:val="21"/>
                <w:highlight w:val="none"/>
                <w:lang w:val="en-US" w:eastAsia="zh-CN"/>
              </w:rPr>
              <w:t>×</w:t>
            </w:r>
            <w:r>
              <w:rPr>
                <w:rFonts w:hint="eastAsia" w:ascii="宋体" w:hAnsi="宋体" w:eastAsia="宋体" w:cs="宋体"/>
                <w:color w:val="000000"/>
                <w:sz w:val="21"/>
                <w:szCs w:val="21"/>
                <w:highlight w:val="none"/>
                <w:lang w:val="en-US" w:eastAsia="zh-CN"/>
              </w:rPr>
              <w:t>100mm塑料试管一次性使用。</w:t>
            </w:r>
          </w:p>
        </w:tc>
        <w:tc>
          <w:tcPr>
            <w:tcW w:w="1111" w:type="dxa"/>
            <w:vAlign w:val="center"/>
          </w:tcPr>
          <w:p>
            <w:pPr>
              <w:jc w:val="center"/>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80000支</w:t>
            </w:r>
          </w:p>
        </w:tc>
        <w:tc>
          <w:tcPr>
            <w:tcW w:w="1501" w:type="dxa"/>
            <w:vAlign w:val="center"/>
          </w:tcPr>
          <w:p>
            <w:pPr>
              <w:jc w:val="center"/>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0.32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 w:hRule="atLeast"/>
          <w:jc w:val="center"/>
        </w:trPr>
        <w:tc>
          <w:tcPr>
            <w:tcW w:w="338" w:type="pct"/>
            <w:vAlign w:val="center"/>
          </w:tcPr>
          <w:p>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4</w:t>
            </w:r>
          </w:p>
        </w:tc>
        <w:tc>
          <w:tcPr>
            <w:tcW w:w="861" w:type="pct"/>
            <w:vAlign w:val="center"/>
          </w:tcPr>
          <w:p>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凝聚胺介质试剂</w:t>
            </w:r>
          </w:p>
        </w:tc>
        <w:tc>
          <w:tcPr>
            <w:tcW w:w="2484" w:type="pct"/>
            <w:vAlign w:val="center"/>
          </w:tcPr>
          <w:p>
            <w:pPr>
              <w:jc w:val="left"/>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val="en-US" w:eastAsia="zh-CN"/>
              </w:rPr>
              <w:t>150人份/盒，本产品作为介质辅助用于完全抗体及不完全抗体的临床筛选检测及辅助用于临床交叉配血实验，2-25℃保存，有效期2年。</w:t>
            </w:r>
          </w:p>
        </w:tc>
        <w:tc>
          <w:tcPr>
            <w:tcW w:w="1111" w:type="dxa"/>
            <w:vAlign w:val="center"/>
          </w:tcPr>
          <w:p>
            <w:pPr>
              <w:jc w:val="center"/>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150盒</w:t>
            </w:r>
          </w:p>
        </w:tc>
        <w:tc>
          <w:tcPr>
            <w:tcW w:w="1501" w:type="dxa"/>
            <w:vAlign w:val="center"/>
          </w:tcPr>
          <w:p>
            <w:pPr>
              <w:jc w:val="center"/>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38" w:type="pct"/>
            <w:vAlign w:val="center"/>
          </w:tcPr>
          <w:p>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5</w:t>
            </w:r>
          </w:p>
        </w:tc>
        <w:tc>
          <w:tcPr>
            <w:tcW w:w="861" w:type="pct"/>
            <w:vAlign w:val="center"/>
          </w:tcPr>
          <w:p>
            <w:pPr>
              <w:jc w:val="center"/>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血型定型试剂</w:t>
            </w:r>
          </w:p>
          <w:p>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抗D(Rh)血型</w:t>
            </w:r>
          </w:p>
        </w:tc>
        <w:tc>
          <w:tcPr>
            <w:tcW w:w="2484" w:type="pct"/>
            <w:vAlign w:val="center"/>
          </w:tcPr>
          <w:p>
            <w:pPr>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规格10ml/盒，本产品适用于临床样本RhD血型的常规检测，不用于血源筛查，仅用于临床检验，为RhD(IgM）血型定型试剂（单克隆抗体），2-8℃储存，有效期24个月。</w:t>
            </w:r>
          </w:p>
        </w:tc>
        <w:tc>
          <w:tcPr>
            <w:tcW w:w="1111" w:type="dxa"/>
            <w:vAlign w:val="center"/>
          </w:tcPr>
          <w:p>
            <w:pPr>
              <w:jc w:val="center"/>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120盒</w:t>
            </w:r>
          </w:p>
        </w:tc>
        <w:tc>
          <w:tcPr>
            <w:tcW w:w="1501" w:type="dxa"/>
            <w:vAlign w:val="center"/>
          </w:tcPr>
          <w:p>
            <w:pPr>
              <w:jc w:val="center"/>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132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jc w:val="center"/>
        </w:trPr>
        <w:tc>
          <w:tcPr>
            <w:tcW w:w="5000" w:type="pct"/>
            <w:gridSpan w:val="5"/>
            <w:vAlign w:val="center"/>
          </w:tcPr>
          <w:p>
            <w:pPr>
              <w:shd w:val="clear"/>
              <w:spacing w:line="440" w:lineRule="exact"/>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说明：</w:t>
            </w:r>
          </w:p>
          <w:p>
            <w:pPr>
              <w:shd w:val="clear"/>
              <w:spacing w:line="440" w:lineRule="exact"/>
              <w:ind w:left="420" w:leftChars="20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1</w:t>
            </w:r>
            <w:r>
              <w:rPr>
                <w:rFonts w:hint="eastAsia" w:ascii="宋体" w:hAnsi="宋体" w:cs="宋体"/>
                <w:sz w:val="21"/>
                <w:szCs w:val="21"/>
                <w:highlight w:val="none"/>
                <w:lang w:val="en-US" w:eastAsia="zh-CN"/>
              </w:rPr>
              <w:t>.</w:t>
            </w:r>
            <w:r>
              <w:rPr>
                <w:rFonts w:hint="eastAsia" w:ascii="宋体" w:hAnsi="宋体" w:eastAsia="宋体" w:cs="宋体"/>
                <w:sz w:val="21"/>
                <w:szCs w:val="21"/>
                <w:highlight w:val="none"/>
              </w:rPr>
              <w:t>投标人的投标文件必须标明所投货物的品牌与参数，保证原厂正品供货，提供相关资料等</w:t>
            </w:r>
            <w:r>
              <w:rPr>
                <w:rFonts w:hint="eastAsia" w:ascii="宋体" w:hAnsi="宋体" w:cs="宋体"/>
                <w:sz w:val="21"/>
                <w:szCs w:val="21"/>
                <w:highlight w:val="none"/>
                <w:lang w:eastAsia="zh-CN"/>
              </w:rPr>
              <w:t>。</w:t>
            </w:r>
          </w:p>
          <w:p>
            <w:pPr>
              <w:shd w:val="clear"/>
              <w:spacing w:line="440" w:lineRule="exact"/>
              <w:ind w:firstLine="420" w:firstLineChars="20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2</w:t>
            </w:r>
            <w:r>
              <w:rPr>
                <w:rFonts w:hint="eastAsia" w:ascii="宋体" w:hAnsi="宋体" w:cs="宋体"/>
                <w:sz w:val="21"/>
                <w:szCs w:val="21"/>
                <w:highlight w:val="none"/>
                <w:lang w:val="en-US" w:eastAsia="zh-CN"/>
              </w:rPr>
              <w:t>.</w:t>
            </w:r>
            <w:r>
              <w:rPr>
                <w:rFonts w:hint="eastAsia" w:ascii="宋体" w:hAnsi="宋体" w:eastAsia="宋体" w:cs="宋体"/>
                <w:sz w:val="21"/>
                <w:szCs w:val="21"/>
                <w:highlight w:val="none"/>
              </w:rPr>
              <w:t>本项目一次性规划，分步实施；本项目耗材进入招标人SPD管理。服务期内如遇国家、省医保带量采购等相关政策调整，按国家、省医保带量采购等相关政策执行</w:t>
            </w:r>
            <w:r>
              <w:rPr>
                <w:rFonts w:hint="eastAsia" w:ascii="宋体" w:hAnsi="宋体" w:cs="宋体"/>
                <w:sz w:val="21"/>
                <w:szCs w:val="21"/>
                <w:highlight w:val="none"/>
                <w:lang w:eastAsia="zh-CN"/>
              </w:rPr>
              <w:t>。</w:t>
            </w:r>
          </w:p>
          <w:p>
            <w:pPr>
              <w:shd w:val="clear"/>
              <w:spacing w:line="440" w:lineRule="exact"/>
              <w:ind w:left="420" w:leftChars="20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3</w:t>
            </w:r>
            <w:r>
              <w:rPr>
                <w:rFonts w:hint="eastAsia" w:ascii="宋体" w:hAnsi="宋体" w:cs="宋体"/>
                <w:sz w:val="21"/>
                <w:szCs w:val="21"/>
                <w:highlight w:val="none"/>
                <w:lang w:val="en-US" w:eastAsia="zh-CN"/>
              </w:rPr>
              <w:t>.</w:t>
            </w:r>
            <w:r>
              <w:rPr>
                <w:rFonts w:hint="eastAsia" w:ascii="宋体" w:hAnsi="宋体" w:eastAsia="宋体" w:cs="宋体"/>
                <w:sz w:val="21"/>
                <w:szCs w:val="21"/>
                <w:highlight w:val="none"/>
              </w:rPr>
              <w:t>供货期限：合同签订后2年</w:t>
            </w:r>
            <w:r>
              <w:rPr>
                <w:rFonts w:hint="eastAsia" w:ascii="宋体" w:hAnsi="宋体" w:cs="宋体"/>
                <w:sz w:val="21"/>
                <w:szCs w:val="21"/>
                <w:highlight w:val="none"/>
                <w:lang w:eastAsia="zh-CN"/>
              </w:rPr>
              <w:t>。</w:t>
            </w:r>
          </w:p>
          <w:p>
            <w:pPr>
              <w:shd w:val="clear"/>
              <w:spacing w:line="440" w:lineRule="exact"/>
              <w:ind w:left="420" w:left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cs="宋体"/>
                <w:sz w:val="21"/>
                <w:szCs w:val="21"/>
                <w:highlight w:val="none"/>
                <w:lang w:val="en-US" w:eastAsia="zh-CN"/>
              </w:rPr>
              <w:t>.</w:t>
            </w:r>
            <w:r>
              <w:rPr>
                <w:rFonts w:hint="eastAsia" w:ascii="宋体" w:hAnsi="宋体" w:eastAsia="宋体" w:cs="宋体"/>
                <w:sz w:val="21"/>
                <w:szCs w:val="21"/>
                <w:highlight w:val="none"/>
              </w:rPr>
              <w:t>投标人须承诺：</w:t>
            </w:r>
          </w:p>
          <w:p>
            <w:pPr>
              <w:shd w:val="clear"/>
              <w:spacing w:line="440" w:lineRule="exact"/>
              <w:ind w:firstLine="420" w:firstLineChars="20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（1）中标产品如有两票制要求则须执行两票制相关要求</w:t>
            </w:r>
            <w:r>
              <w:rPr>
                <w:rFonts w:hint="eastAsia" w:ascii="宋体" w:hAnsi="宋体" w:cs="宋体"/>
                <w:sz w:val="21"/>
                <w:szCs w:val="21"/>
                <w:highlight w:val="none"/>
                <w:lang w:eastAsia="zh-CN"/>
              </w:rPr>
              <w:t>；</w:t>
            </w:r>
          </w:p>
          <w:p>
            <w:pPr>
              <w:shd w:val="clear"/>
              <w:spacing w:line="440" w:lineRule="exact"/>
              <w:ind w:firstLine="420" w:firstLineChars="20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（2）中标产品如安徽省医药集中采购中心有相关要求，则须执行安徽省医药集中采购中心相关要求。本项须提供承诺函加盖投标人公章</w:t>
            </w:r>
            <w:r>
              <w:rPr>
                <w:rFonts w:hint="eastAsia" w:ascii="宋体" w:hAnsi="宋体" w:cs="宋体"/>
                <w:sz w:val="21"/>
                <w:szCs w:val="21"/>
                <w:highlight w:val="none"/>
                <w:lang w:eastAsia="zh-CN"/>
              </w:rPr>
              <w:t>。</w:t>
            </w:r>
          </w:p>
          <w:p>
            <w:pPr>
              <w:shd w:val="clear"/>
              <w:spacing w:line="440" w:lineRule="exact"/>
              <w:ind w:left="420" w:leftChars="20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5</w:t>
            </w:r>
            <w:r>
              <w:rPr>
                <w:rFonts w:hint="eastAsia" w:ascii="宋体" w:hAnsi="宋体" w:cs="宋体"/>
                <w:sz w:val="21"/>
                <w:szCs w:val="21"/>
                <w:highlight w:val="none"/>
                <w:lang w:val="en-US" w:eastAsia="zh-CN"/>
              </w:rPr>
              <w:t>.</w:t>
            </w:r>
            <w:r>
              <w:rPr>
                <w:rFonts w:hint="eastAsia" w:ascii="宋体" w:hAnsi="宋体" w:eastAsia="宋体" w:cs="宋体"/>
                <w:sz w:val="21"/>
                <w:szCs w:val="21"/>
                <w:highlight w:val="none"/>
              </w:rPr>
              <w:t>中标人供货价格计算方式如下：单价最高限价×中标费率=单价供货价格</w:t>
            </w:r>
            <w:r>
              <w:rPr>
                <w:rFonts w:hint="eastAsia" w:ascii="宋体" w:hAnsi="宋体" w:cs="宋体"/>
                <w:sz w:val="21"/>
                <w:szCs w:val="21"/>
                <w:highlight w:val="none"/>
                <w:lang w:eastAsia="zh-CN"/>
              </w:rPr>
              <w:t>。</w:t>
            </w:r>
          </w:p>
          <w:p>
            <w:pPr>
              <w:shd w:val="clear"/>
              <w:spacing w:line="440" w:lineRule="exact"/>
              <w:ind w:left="420" w:left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6</w:t>
            </w:r>
            <w:r>
              <w:rPr>
                <w:rFonts w:hint="eastAsia" w:ascii="宋体" w:hAnsi="宋体" w:cs="宋体"/>
                <w:sz w:val="21"/>
                <w:szCs w:val="21"/>
                <w:highlight w:val="none"/>
                <w:lang w:val="en-US" w:eastAsia="zh-CN"/>
              </w:rPr>
              <w:t>.</w:t>
            </w:r>
            <w:r>
              <w:rPr>
                <w:rFonts w:hint="eastAsia" w:ascii="宋体" w:hAnsi="宋体" w:eastAsia="宋体" w:cs="宋体"/>
                <w:sz w:val="21"/>
                <w:szCs w:val="21"/>
                <w:highlight w:val="none"/>
              </w:rPr>
              <w:t>两年预估使用量仅代表医院过去2年使用估量，仅供投标人报价时参考。</w:t>
            </w:r>
          </w:p>
          <w:p>
            <w:pPr>
              <w:spacing w:line="440" w:lineRule="exact"/>
              <w:ind w:left="420" w:leftChars="200"/>
              <w:jc w:val="left"/>
              <w:rPr>
                <w:rFonts w:hint="eastAsia" w:ascii="宋体" w:hAnsi="宋体" w:eastAsia="宋体" w:cs="宋体"/>
                <w:color w:val="000000"/>
                <w:sz w:val="21"/>
                <w:szCs w:val="21"/>
                <w:highlight w:val="none"/>
              </w:rPr>
            </w:pPr>
            <w:r>
              <w:rPr>
                <w:rFonts w:hint="eastAsia" w:ascii="宋体" w:hAnsi="宋体" w:eastAsia="宋体" w:cs="宋体"/>
                <w:b/>
                <w:bCs/>
                <w:sz w:val="21"/>
                <w:szCs w:val="21"/>
                <w:highlight w:val="none"/>
              </w:rPr>
              <w:t>本次采购最高投标费率：100%</w:t>
            </w:r>
          </w:p>
        </w:tc>
      </w:t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tbl>
    <w:p>
      <w:pPr>
        <w:widowControl/>
        <w:spacing w:line="440" w:lineRule="exact"/>
        <w:ind w:firstLine="422" w:firstLineChars="200"/>
        <w:rPr>
          <w:rFonts w:ascii="宋体" w:hAnsi="宋体" w:cs="宋体"/>
          <w:b/>
          <w:color w:val="auto"/>
          <w:szCs w:val="21"/>
        </w:rPr>
      </w:pPr>
      <w:r>
        <w:rPr>
          <w:rFonts w:hint="eastAsia" w:ascii="宋体" w:hAnsi="宋体" w:cs="宋体"/>
          <w:b/>
          <w:color w:val="auto"/>
          <w:szCs w:val="21"/>
        </w:rPr>
        <w:t>三、质量要求</w:t>
      </w:r>
    </w:p>
    <w:p>
      <w:pPr>
        <w:spacing w:line="440" w:lineRule="exact"/>
        <w:ind w:firstLine="420" w:firstLineChars="200"/>
        <w:jc w:val="left"/>
        <w:rPr>
          <w:rFonts w:ascii="宋体" w:hAnsi="宋体" w:cs="宋体"/>
          <w:color w:val="auto"/>
          <w:szCs w:val="21"/>
        </w:rPr>
      </w:pPr>
      <w:r>
        <w:rPr>
          <w:rFonts w:hint="eastAsia" w:ascii="宋体" w:hAnsi="宋体" w:cs="宋体"/>
          <w:color w:val="auto"/>
          <w:szCs w:val="21"/>
        </w:rPr>
        <w:t>1</w:t>
      </w:r>
      <w:r>
        <w:rPr>
          <w:rFonts w:hint="eastAsia" w:ascii="宋体" w:hAnsi="宋体" w:cs="宋体"/>
          <w:color w:val="auto"/>
          <w:szCs w:val="21"/>
          <w:lang w:val="en-US" w:eastAsia="zh-CN"/>
        </w:rPr>
        <w:t>.</w:t>
      </w:r>
      <w:r>
        <w:rPr>
          <w:rFonts w:hint="eastAsia" w:ascii="宋体" w:hAnsi="宋体" w:cs="宋体"/>
          <w:color w:val="auto"/>
          <w:szCs w:val="21"/>
        </w:rPr>
        <w:t>投标人提供的货物必须是全新、标识清楚、符合国家规定的质量标准或行业现行标准的要求。没有国家标准和行业标准的，应达到经主管部门批准的企业现行标准要求，符合甲方招标文件和乙方投标文件所要求的技术标准。杜绝证照不全、假冒、伪劣、过期、失效、淘汰或不合格的产品进入医院，否则，乙方承担由此造成的一切后果。</w:t>
      </w:r>
    </w:p>
    <w:p>
      <w:pPr>
        <w:spacing w:line="440" w:lineRule="exact"/>
        <w:ind w:firstLine="420" w:firstLineChars="200"/>
        <w:jc w:val="left"/>
        <w:rPr>
          <w:rFonts w:ascii="宋体" w:hAnsi="宋体" w:cs="宋体"/>
          <w:color w:val="auto"/>
          <w:szCs w:val="21"/>
        </w:rPr>
      </w:pPr>
      <w:r>
        <w:rPr>
          <w:rFonts w:ascii="宋体" w:hAnsi="宋体" w:cs="宋体"/>
          <w:color w:val="auto"/>
          <w:szCs w:val="21"/>
        </w:rPr>
        <w:t>2</w:t>
      </w:r>
      <w:r>
        <w:rPr>
          <w:rFonts w:hint="eastAsia" w:ascii="宋体" w:hAnsi="宋体" w:cs="宋体"/>
          <w:color w:val="auto"/>
          <w:szCs w:val="21"/>
          <w:lang w:val="en-US" w:eastAsia="zh-CN"/>
        </w:rPr>
        <w:t>.</w:t>
      </w:r>
      <w:r>
        <w:rPr>
          <w:rFonts w:hint="eastAsia" w:ascii="宋体" w:hAnsi="宋体" w:cs="宋体"/>
          <w:color w:val="auto"/>
          <w:szCs w:val="21"/>
        </w:rPr>
        <w:t>乙方提供的产品，每个批次须提供该批次同批号产品检验报告。</w:t>
      </w:r>
    </w:p>
    <w:p>
      <w:pPr>
        <w:spacing w:line="440" w:lineRule="exact"/>
        <w:ind w:firstLine="420" w:firstLineChars="200"/>
        <w:jc w:val="left"/>
        <w:rPr>
          <w:rFonts w:ascii="宋体" w:hAnsi="宋体" w:cs="宋体"/>
          <w:color w:val="auto"/>
          <w:szCs w:val="21"/>
        </w:rPr>
      </w:pPr>
      <w:r>
        <w:rPr>
          <w:rFonts w:hint="eastAsia" w:ascii="宋体" w:hAnsi="宋体" w:cs="宋体"/>
          <w:color w:val="auto"/>
          <w:szCs w:val="21"/>
        </w:rPr>
        <w:t>3</w:t>
      </w:r>
      <w:r>
        <w:rPr>
          <w:rFonts w:hint="eastAsia" w:ascii="宋体" w:hAnsi="宋体" w:cs="宋体"/>
          <w:color w:val="auto"/>
          <w:szCs w:val="21"/>
          <w:lang w:val="en-US" w:eastAsia="zh-CN"/>
        </w:rPr>
        <w:t>.</w:t>
      </w:r>
      <w:r>
        <w:rPr>
          <w:rFonts w:hint="eastAsia" w:ascii="宋体" w:hAnsi="宋体" w:cs="宋体"/>
          <w:color w:val="auto"/>
          <w:szCs w:val="21"/>
        </w:rPr>
        <w:t>保证投标产品的质量，有效期的产品必须留有至少80%的有效期。</w:t>
      </w:r>
    </w:p>
    <w:p>
      <w:pPr>
        <w:spacing w:line="440" w:lineRule="exact"/>
        <w:ind w:firstLine="420" w:firstLineChars="200"/>
        <w:jc w:val="left"/>
        <w:rPr>
          <w:rFonts w:hint="eastAsia" w:ascii="宋体" w:hAnsi="宋体" w:cs="宋体"/>
          <w:color w:val="auto"/>
          <w:szCs w:val="21"/>
        </w:rPr>
      </w:pPr>
      <w:r>
        <w:rPr>
          <w:rFonts w:hint="eastAsia" w:ascii="宋体" w:hAnsi="宋体" w:cs="宋体"/>
          <w:color w:val="auto"/>
          <w:szCs w:val="21"/>
        </w:rPr>
        <w:t>4</w:t>
      </w:r>
      <w:r>
        <w:rPr>
          <w:rFonts w:hint="eastAsia" w:ascii="宋体" w:hAnsi="宋体" w:cs="宋体"/>
          <w:color w:val="auto"/>
          <w:szCs w:val="21"/>
          <w:lang w:val="en-US" w:eastAsia="zh-CN"/>
        </w:rPr>
        <w:t>.</w:t>
      </w:r>
      <w:r>
        <w:rPr>
          <w:rFonts w:hint="eastAsia" w:ascii="宋体" w:hAnsi="宋体" w:cs="宋体"/>
          <w:color w:val="auto"/>
          <w:szCs w:val="21"/>
        </w:rPr>
        <w:t>保证是原产地生产的原装产品，否则视为假冒伪劣</w:t>
      </w:r>
      <w:r>
        <w:rPr>
          <w:rFonts w:ascii="宋体" w:hAnsi="宋体" w:cs="宋体"/>
          <w:color w:val="auto"/>
          <w:szCs w:val="21"/>
        </w:rPr>
        <w:t>产品。</w:t>
      </w:r>
    </w:p>
    <w:p>
      <w:pPr>
        <w:spacing w:line="440" w:lineRule="exact"/>
        <w:ind w:firstLine="422" w:firstLineChars="200"/>
        <w:jc w:val="left"/>
        <w:rPr>
          <w:rFonts w:ascii="宋体" w:hAnsi="宋体" w:cs="宋体"/>
          <w:color w:val="auto"/>
          <w:szCs w:val="21"/>
        </w:rPr>
      </w:pPr>
      <w:r>
        <w:rPr>
          <w:rFonts w:hint="eastAsia" w:ascii="宋体" w:hAnsi="宋体" w:cs="宋体"/>
          <w:b/>
          <w:bCs/>
          <w:color w:val="auto"/>
          <w:szCs w:val="21"/>
        </w:rPr>
        <w:t>四、供货及售后要求</w:t>
      </w:r>
    </w:p>
    <w:p>
      <w:pPr>
        <w:spacing w:line="440" w:lineRule="exact"/>
        <w:ind w:firstLine="420" w:firstLineChars="200"/>
        <w:jc w:val="left"/>
        <w:rPr>
          <w:rFonts w:ascii="宋体" w:hAnsi="宋体" w:cs="宋体"/>
          <w:color w:val="auto"/>
          <w:szCs w:val="21"/>
        </w:rPr>
      </w:pPr>
      <w:r>
        <w:rPr>
          <w:rFonts w:hint="eastAsia" w:ascii="宋体" w:hAnsi="宋体" w:cs="宋体"/>
          <w:color w:val="auto"/>
          <w:szCs w:val="21"/>
        </w:rPr>
        <w:t>1.投标人接到招标人供货通知，根据招标人通知的规格型号和数量按计划送货，按照招标人要求送至指定地点，负责运输。</w:t>
      </w:r>
    </w:p>
    <w:p>
      <w:pPr>
        <w:spacing w:line="440" w:lineRule="exact"/>
        <w:ind w:firstLine="420" w:firstLineChars="200"/>
        <w:jc w:val="left"/>
        <w:rPr>
          <w:rFonts w:ascii="宋体" w:hAnsi="宋体" w:cs="宋体"/>
          <w:color w:val="auto"/>
          <w:szCs w:val="21"/>
        </w:rPr>
      </w:pPr>
      <w:r>
        <w:rPr>
          <w:rFonts w:hint="eastAsia" w:ascii="宋体" w:hAnsi="宋体" w:cs="宋体"/>
          <w:color w:val="auto"/>
          <w:szCs w:val="21"/>
        </w:rPr>
        <w:t>2.中标人根据招标人采购计划进行供货，不允许超计划供货，超出计划的数量，招标人不予验收入库，由中标人无条件带回。</w:t>
      </w:r>
    </w:p>
    <w:p>
      <w:pPr>
        <w:spacing w:line="440" w:lineRule="exact"/>
        <w:ind w:firstLine="420" w:firstLineChars="200"/>
        <w:jc w:val="left"/>
        <w:rPr>
          <w:rFonts w:ascii="宋体" w:hAnsi="宋体" w:cs="宋体"/>
          <w:color w:val="auto"/>
          <w:szCs w:val="21"/>
        </w:rPr>
      </w:pPr>
      <w:r>
        <w:rPr>
          <w:rFonts w:hint="eastAsia" w:ascii="宋体" w:hAnsi="宋体" w:cs="宋体"/>
          <w:color w:val="auto"/>
          <w:szCs w:val="21"/>
        </w:rPr>
        <w:t>3.中标人所投的品牌货物在供货或使用过程中出现质量和使用问题，招标人有权要求更换，直至招标人满意，且不再另行支付任何费用。</w:t>
      </w:r>
    </w:p>
    <w:p>
      <w:pPr>
        <w:spacing w:line="440" w:lineRule="exact"/>
        <w:ind w:firstLine="420" w:firstLineChars="200"/>
        <w:jc w:val="left"/>
        <w:rPr>
          <w:rFonts w:ascii="宋体" w:hAnsi="宋体" w:cs="宋体"/>
          <w:color w:val="auto"/>
          <w:szCs w:val="21"/>
        </w:rPr>
      </w:pPr>
      <w:r>
        <w:rPr>
          <w:rFonts w:hint="eastAsia" w:ascii="宋体" w:hAnsi="宋体" w:cs="宋体"/>
          <w:color w:val="auto"/>
          <w:szCs w:val="21"/>
        </w:rPr>
        <w:t>4.按招标人实际需求进行供货，中标人须无条件满足招标人需求，确保供货质量并及时供货。</w:t>
      </w:r>
    </w:p>
    <w:p>
      <w:pPr>
        <w:widowControl/>
        <w:spacing w:line="440" w:lineRule="exact"/>
        <w:ind w:firstLine="422" w:firstLineChars="200"/>
        <w:rPr>
          <w:rFonts w:ascii="宋体" w:hAnsi="宋体" w:cs="宋体"/>
          <w:b/>
          <w:color w:val="auto"/>
          <w:szCs w:val="21"/>
        </w:rPr>
      </w:pPr>
      <w:r>
        <w:rPr>
          <w:rFonts w:hint="eastAsia" w:ascii="宋体" w:hAnsi="宋体" w:cs="宋体"/>
          <w:b/>
          <w:color w:val="auto"/>
          <w:szCs w:val="21"/>
        </w:rPr>
        <w:t>五、验收</w:t>
      </w:r>
    </w:p>
    <w:p>
      <w:pPr>
        <w:snapToGrid w:val="0"/>
        <w:spacing w:line="440" w:lineRule="exact"/>
        <w:ind w:firstLine="420" w:firstLineChars="200"/>
        <w:rPr>
          <w:rFonts w:ascii="宋体" w:hAnsi="宋体" w:cs="宋体"/>
          <w:b/>
          <w:bCs/>
          <w:snapToGrid w:val="0"/>
          <w:color w:val="auto"/>
          <w:szCs w:val="21"/>
        </w:rPr>
      </w:pPr>
      <w:r>
        <w:rPr>
          <w:rFonts w:hint="eastAsia" w:ascii="宋体" w:hAnsi="宋体" w:cs="宋体"/>
          <w:color w:val="auto"/>
          <w:szCs w:val="21"/>
        </w:rPr>
        <w:t>验收时招标人和中标人双方共同实施验收工作，验收合格后，结果和验收报告经双方确认后生效。</w:t>
      </w:r>
      <w:r>
        <w:rPr>
          <w:rFonts w:hint="eastAsia" w:ascii="宋体" w:hAnsi="宋体" w:cs="宋体"/>
          <w:color w:val="auto"/>
          <w:szCs w:val="21"/>
        </w:rPr>
        <w:br w:type="textWrapping"/>
      </w:r>
      <w:r>
        <w:rPr>
          <w:rFonts w:hint="eastAsia" w:ascii="宋体" w:hAnsi="宋体" w:cs="宋体"/>
          <w:color w:val="auto"/>
          <w:szCs w:val="21"/>
          <w:lang w:val="en-US" w:eastAsia="zh-CN"/>
        </w:rPr>
        <w:t xml:space="preserve">    </w:t>
      </w:r>
      <w:r>
        <w:rPr>
          <w:rFonts w:hint="eastAsia" w:ascii="宋体" w:hAnsi="宋体" w:cs="宋体"/>
          <w:b/>
          <w:bCs/>
          <w:snapToGrid w:val="0"/>
          <w:color w:val="auto"/>
          <w:szCs w:val="21"/>
        </w:rPr>
        <w:t>六、报价要求</w:t>
      </w:r>
    </w:p>
    <w:p>
      <w:pPr>
        <w:spacing w:line="440" w:lineRule="exact"/>
        <w:ind w:firstLine="420" w:firstLineChars="200"/>
        <w:rPr>
          <w:rFonts w:ascii="宋体" w:hAnsi="宋体" w:cs="宋体"/>
          <w:color w:val="auto"/>
          <w:szCs w:val="21"/>
        </w:rPr>
      </w:pPr>
      <w:r>
        <w:rPr>
          <w:rFonts w:hint="eastAsia" w:ascii="宋体" w:hAnsi="宋体" w:cs="宋体"/>
          <w:snapToGrid w:val="0"/>
          <w:color w:val="auto"/>
          <w:szCs w:val="21"/>
        </w:rPr>
        <w:t>投标人按</w:t>
      </w:r>
      <w:r>
        <w:rPr>
          <w:rFonts w:hint="eastAsia"/>
          <w:color w:val="auto"/>
          <w:szCs w:val="21"/>
        </w:rPr>
        <w:t>费率</w:t>
      </w:r>
      <w:r>
        <w:rPr>
          <w:rFonts w:hint="eastAsia" w:ascii="宋体" w:hAnsi="宋体" w:cs="宋体"/>
          <w:snapToGrid w:val="0"/>
          <w:color w:val="auto"/>
          <w:szCs w:val="21"/>
        </w:rPr>
        <w:t>进行报价，其</w:t>
      </w:r>
      <w:r>
        <w:rPr>
          <w:rFonts w:hint="eastAsia" w:ascii="宋体" w:hAnsi="宋体"/>
          <w:color w:val="auto"/>
          <w:szCs w:val="21"/>
        </w:rPr>
        <w:t>投标费率不得高于最高投标费率</w:t>
      </w:r>
      <w:r>
        <w:rPr>
          <w:rFonts w:hint="eastAsia"/>
          <w:color w:val="auto"/>
          <w:szCs w:val="21"/>
        </w:rPr>
        <w:t>。</w:t>
      </w:r>
      <w:r>
        <w:rPr>
          <w:rFonts w:hint="eastAsia" w:ascii="宋体" w:hAnsi="宋体" w:cs="宋体"/>
          <w:color w:val="auto"/>
          <w:szCs w:val="21"/>
        </w:rPr>
        <w:t>报价应包含产品费用、</w:t>
      </w:r>
      <w:r>
        <w:rPr>
          <w:rFonts w:ascii="宋体" w:hAnsi="宋体" w:cs="宋体"/>
          <w:color w:val="auto"/>
          <w:szCs w:val="21"/>
        </w:rPr>
        <w:t>运费(多次分批量送货</w:t>
      </w:r>
      <w:r>
        <w:rPr>
          <w:rFonts w:hint="eastAsia" w:ascii="宋体" w:hAnsi="宋体" w:cs="宋体"/>
          <w:color w:val="auto"/>
          <w:szCs w:val="21"/>
        </w:rPr>
        <w:t>，含装卸力资）、</w:t>
      </w:r>
      <w:r>
        <w:rPr>
          <w:rFonts w:ascii="宋体" w:hAnsi="宋体" w:cs="宋体"/>
          <w:color w:val="auto"/>
          <w:szCs w:val="21"/>
        </w:rPr>
        <w:t>税费</w:t>
      </w:r>
      <w:r>
        <w:rPr>
          <w:rFonts w:hint="eastAsia" w:ascii="宋体" w:hAnsi="宋体" w:cs="宋体"/>
          <w:color w:val="auto"/>
          <w:szCs w:val="21"/>
        </w:rPr>
        <w:t>、</w:t>
      </w:r>
      <w:r>
        <w:rPr>
          <w:rFonts w:hint="eastAsia" w:ascii="宋体" w:hAnsi="宋体" w:cs="宋体"/>
          <w:color w:val="auto"/>
          <w:szCs w:val="21"/>
          <w:lang w:val="zh-CN"/>
        </w:rPr>
        <w:t>检验</w:t>
      </w:r>
      <w:r>
        <w:rPr>
          <w:rFonts w:hint="eastAsia" w:ascii="宋体" w:hAnsi="宋体" w:cs="宋体"/>
          <w:color w:val="auto"/>
          <w:szCs w:val="21"/>
        </w:rPr>
        <w:t>费</w:t>
      </w:r>
      <w:r>
        <w:rPr>
          <w:rFonts w:hint="eastAsia" w:ascii="宋体" w:hAnsi="宋体" w:cs="宋体"/>
          <w:color w:val="auto"/>
          <w:szCs w:val="21"/>
          <w:lang w:val="zh-CN"/>
        </w:rPr>
        <w:t>、</w:t>
      </w:r>
      <w:r>
        <w:rPr>
          <w:rFonts w:ascii="宋体" w:hAnsi="宋体" w:cs="宋体"/>
          <w:color w:val="auto"/>
          <w:szCs w:val="21"/>
        </w:rPr>
        <w:t>保险费、</w:t>
      </w:r>
      <w:r>
        <w:rPr>
          <w:rFonts w:hint="eastAsia" w:ascii="宋体" w:hAnsi="宋体" w:cs="宋体"/>
          <w:color w:val="auto"/>
          <w:szCs w:val="21"/>
        </w:rPr>
        <w:t>仓储费、包装费、售后服务等为完成本项目所必须的其他辅助工作的相关费用等所有费用。投标人应结合采购需求及自身情况合理报价，一旦中标，中标费率后期将不作任何调整，其结算价为单价最高限价*实际使用量*中标费率。</w:t>
      </w:r>
    </w:p>
    <w:p>
      <w:pPr>
        <w:widowControl/>
        <w:spacing w:line="440" w:lineRule="exact"/>
        <w:ind w:firstLine="422" w:firstLineChars="200"/>
        <w:rPr>
          <w:rFonts w:ascii="宋体" w:hAnsi="宋体" w:cs="宋体"/>
          <w:b/>
          <w:color w:val="auto"/>
          <w:szCs w:val="21"/>
        </w:rPr>
      </w:pPr>
      <w:r>
        <w:rPr>
          <w:rFonts w:hint="eastAsia" w:ascii="宋体" w:hAnsi="宋体" w:cs="宋体"/>
          <w:b/>
          <w:color w:val="auto"/>
          <w:szCs w:val="21"/>
        </w:rPr>
        <w:t>七、付款方式</w:t>
      </w:r>
    </w:p>
    <w:p>
      <w:pPr>
        <w:pStyle w:val="3"/>
        <w:ind w:firstLine="420" w:firstLineChars="200"/>
        <w:jc w:val="both"/>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本项目一次性规划，分步实施，按实结算，货到验收合格、收到正规发票后6个月内付款。</w:t>
      </w:r>
    </w:p>
    <w:p>
      <w:pPr>
        <w:rPr>
          <w:highlight w:val="none"/>
        </w:rPr>
      </w:pPr>
    </w:p>
    <w:p>
      <w:pPr>
        <w:pStyle w:val="7"/>
        <w:rPr>
          <w:highlight w:val="none"/>
        </w:rPr>
      </w:pPr>
    </w:p>
    <w:p>
      <w:pPr>
        <w:rPr>
          <w:highlight w:val="none"/>
        </w:rPr>
      </w:pPr>
    </w:p>
    <w:p>
      <w:pPr>
        <w:pStyle w:val="7"/>
        <w:rPr>
          <w:highlight w:val="none"/>
        </w:rPr>
      </w:pPr>
    </w:p>
    <w:p>
      <w:pPr>
        <w:rPr>
          <w:highlight w:val="none"/>
        </w:rPr>
      </w:pPr>
    </w:p>
    <w:p>
      <w:bookmarkStart w:id="26" w:name="_GoBack"/>
      <w:bookmarkEnd w:id="2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iOTI1YjMzNzU1MGU0NTliYzYxY2RiZWM1MzEwMGQifQ=="/>
  </w:docVars>
  <w:rsids>
    <w:rsidRoot w:val="04550C1E"/>
    <w:rsid w:val="04550C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00" w:after="100"/>
      <w:jc w:val="center"/>
      <w:outlineLvl w:val="0"/>
    </w:pPr>
    <w:rPr>
      <w:b/>
      <w:bCs/>
      <w:kern w:val="44"/>
      <w:sz w:val="32"/>
      <w:szCs w:val="44"/>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正文 New"/>
    <w:basedOn w:val="1"/>
    <w:qFormat/>
    <w:uiPriority w:val="0"/>
    <w:pPr>
      <w:spacing w:before="100" w:beforeAutospacing="1" w:after="100" w:afterAutospacing="1" w:line="440" w:lineRule="exact"/>
      <w:ind w:left="357" w:hanging="357"/>
    </w:pPr>
    <w:rPr>
      <w:szCs w:val="21"/>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7">
    <w:name w:val="BodyText1I"/>
    <w:basedOn w:val="8"/>
    <w:next w:val="1"/>
    <w:qFormat/>
    <w:uiPriority w:val="0"/>
    <w:pPr>
      <w:ind w:firstLine="420" w:firstLineChars="100"/>
    </w:pPr>
  </w:style>
  <w:style w:type="paragraph" w:customStyle="1" w:styleId="8">
    <w:name w:val="BodyText"/>
    <w:basedOn w:val="1"/>
    <w:next w:val="9"/>
    <w:qFormat/>
    <w:uiPriority w:val="0"/>
    <w:pPr>
      <w:spacing w:after="120"/>
      <w:textAlignment w:val="baseline"/>
    </w:pPr>
  </w:style>
  <w:style w:type="paragraph" w:customStyle="1" w:styleId="9">
    <w:name w:val="UserStyle_0"/>
    <w:qFormat/>
    <w:uiPriority w:val="0"/>
    <w:pPr>
      <w:textAlignment w:val="baseline"/>
    </w:pPr>
    <w:rPr>
      <w:rFonts w:ascii="宋体"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2023-02-20T08:12:00Z</dcterms:created>
  <dc:creator>兔子爱上了窝边草</dc:creator>
  <cp:lastModifiedBy>兔子爱上了窝边草</cp:lastModifiedBy>
  <dcterms:modified xsi:type="dcterms:W3CDTF">2023-02-20T08:13:09Z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166BFE09B914480A8DEA0C5CA23079A1</vt:lpwstr>
  </property>
</Properties>
</file>