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color w:val="auto"/>
          <w:highlight w:val="none"/>
        </w:rPr>
      </w:pPr>
      <w:bookmarkStart w:id="12" w:name="_GoBack"/>
      <w:bookmarkStart w:id="0" w:name="_Toc490233120"/>
      <w:bookmarkStart w:id="1" w:name="_Toc12616"/>
      <w:r>
        <w:rPr>
          <w:rFonts w:hint="eastAsia"/>
          <w:color w:val="auto"/>
          <w:highlight w:val="none"/>
        </w:rPr>
        <w:t>货物需求及技术要求</w:t>
      </w:r>
      <w:bookmarkEnd w:id="0"/>
      <w:bookmarkEnd w:id="1"/>
    </w:p>
    <w:bookmarkEnd w:id="12"/>
    <w:p>
      <w:pPr>
        <w:rPr>
          <w:rFonts w:hint="eastAsia" w:hAnsi="宋体"/>
          <w:b/>
          <w:bCs/>
          <w:color w:val="auto"/>
          <w:sz w:val="24"/>
          <w:highlight w:val="none"/>
        </w:rPr>
      </w:pPr>
      <w:bookmarkStart w:id="2" w:name="_Toc17601"/>
      <w:bookmarkStart w:id="3" w:name="_Toc21193"/>
      <w:bookmarkStart w:id="4" w:name="_Toc3184"/>
      <w:bookmarkStart w:id="5" w:name="_Toc18380"/>
      <w:bookmarkStart w:id="6" w:name="_Toc490682727"/>
      <w:r>
        <w:rPr>
          <w:rFonts w:hint="eastAsia" w:hAnsi="宋体"/>
          <w:b/>
          <w:bCs/>
          <w:color w:val="auto"/>
          <w:sz w:val="24"/>
          <w:highlight w:val="none"/>
          <w:lang w:val="en-US" w:eastAsia="zh-CN"/>
        </w:rPr>
        <w:t>一、</w:t>
      </w:r>
      <w:r>
        <w:rPr>
          <w:rFonts w:hint="eastAsia" w:hAnsi="宋体"/>
          <w:b/>
          <w:bCs/>
          <w:color w:val="auto"/>
          <w:sz w:val="24"/>
          <w:highlight w:val="none"/>
        </w:rPr>
        <w:t>货物需求一览表</w:t>
      </w:r>
    </w:p>
    <w:p>
      <w:pPr>
        <w:pStyle w:val="11"/>
        <w:ind w:left="0" w:leftChars="0" w:firstLine="0" w:firstLineChars="0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 w:hAnsi="宋体"/>
          <w:b/>
          <w:bCs/>
          <w:color w:val="auto"/>
          <w:sz w:val="24"/>
          <w:highlight w:val="none"/>
          <w:lang w:val="en-US" w:eastAsia="zh-CN"/>
        </w:rPr>
        <w:t>1包：</w:t>
      </w:r>
    </w:p>
    <w:tbl>
      <w:tblPr>
        <w:tblStyle w:val="9"/>
        <w:tblW w:w="927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992"/>
        <w:gridCol w:w="5470"/>
        <w:gridCol w:w="1025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10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5470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技术参数</w:t>
            </w:r>
          </w:p>
        </w:tc>
        <w:tc>
          <w:tcPr>
            <w:tcW w:w="1025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年约使用量</w:t>
            </w:r>
          </w:p>
        </w:tc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采购限价（元）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710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>
            <w:pPr>
              <w:pStyle w:val="8"/>
              <w:widowControl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腹膜透析螺旋帽钛接头</w:t>
            </w:r>
          </w:p>
        </w:tc>
        <w:tc>
          <w:tcPr>
            <w:tcW w:w="5470" w:type="dxa"/>
            <w:shd w:val="clear" w:color="auto" w:fill="auto"/>
            <w:noWrap w:val="0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1、 用于腹透导管与带有锁扣接头的外接短管的连接。适用的腹透导管规格：内径2.6毫米-外径5毫米，内径3.5毫米-外径5.1毫米。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2、 材料为纯钛，由两部分组成：钛接头和螺旋帽。钛接头为一个双重密封，鲁尔内锁定接头。环氧乙烷灭菌，一次性使用。</w:t>
            </w:r>
          </w:p>
        </w:tc>
        <w:tc>
          <w:tcPr>
            <w:tcW w:w="1025" w:type="dxa"/>
            <w:shd w:val="clear" w:color="auto" w:fill="auto"/>
            <w:noWrap w:val="0"/>
            <w:vAlign w:val="center"/>
          </w:tcPr>
          <w:p>
            <w:pPr>
              <w:pStyle w:val="8"/>
              <w:widowControl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pStyle w:val="8"/>
              <w:widowControl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7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碘液微型盖</w:t>
            </w:r>
          </w:p>
        </w:tc>
        <w:tc>
          <w:tcPr>
            <w:tcW w:w="5470" w:type="dxa"/>
            <w:shd w:val="clear" w:color="auto" w:fill="auto"/>
            <w:noWrap w:val="0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1、用于腹膜透析病人腹膜透析外接延长短管管口的消毒封堵。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2、碘伏帽由帽壳、帽盖及泡沫塑料组成,帽壳、帽盖为聚乙烯、聚丙烯材料注塑成型,泡沫塑料为聚氨酯。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3、 碘伏帽的内螺纹与腹膜透析延长管出口端的外螺纹应配合良好,封堵严密,不得自行脱落。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4、 细菌菌落总数、真菌菌落总数均应≤100cfu/g,并不得检出致病性化脓菌、大肠杆菌;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5、 泡沫塑料中含聚维酮碘溶液≥0.15ml,聚维酮碘溶液标示量10%,有效碘含量为标示量的8.5%~12%;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6、 对金黄色葡萄球菌、绿脓杆菌、大肠杆菌的杀灭对数值达到3.00以上。一次性使用。</w:t>
            </w:r>
          </w:p>
        </w:tc>
        <w:tc>
          <w:tcPr>
            <w:tcW w:w="102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1300</w:t>
            </w:r>
          </w:p>
        </w:tc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7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医用导管夹</w:t>
            </w:r>
          </w:p>
        </w:tc>
        <w:tc>
          <w:tcPr>
            <w:tcW w:w="5470" w:type="dxa"/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1、由夹子主体、闭合口、臂组成。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2、 主要用于腹膜透析换液时夹闭外接管路系统，以确保正确的液体流向。以及夹闭腹膜透析液袋出口端，为管路穿刺接头的插入及拔出提供支撑。</w:t>
            </w:r>
          </w:p>
        </w:tc>
        <w:tc>
          <w:tcPr>
            <w:tcW w:w="102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30</w:t>
            </w:r>
          </w:p>
        </w:tc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腹膜透析外接短管</w:t>
            </w:r>
          </w:p>
        </w:tc>
        <w:tc>
          <w:tcPr>
            <w:tcW w:w="5470" w:type="dxa"/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腹透时与腹膜透析管连接使用</w:t>
            </w:r>
          </w:p>
        </w:tc>
        <w:tc>
          <w:tcPr>
            <w:tcW w:w="102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100</w:t>
            </w:r>
          </w:p>
        </w:tc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1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腹膜透析管及附件</w:t>
            </w:r>
          </w:p>
        </w:tc>
        <w:tc>
          <w:tcPr>
            <w:tcW w:w="5470" w:type="dxa"/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1、适用于急性、慢性腹膜透析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2、规格：直管。长度：42cm左右</w:t>
            </w:r>
          </w:p>
        </w:tc>
        <w:tc>
          <w:tcPr>
            <w:tcW w:w="102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10</w:t>
            </w:r>
          </w:p>
        </w:tc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277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说明：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1、投标人的投标文件必须标明所投货物的品牌与参数，保证原厂正品供货，提供相关资料等。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2、合同期：二年配送服务。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3、本项目一次性规划，分步实施，按实结算。本项目耗材进入我院SPD管理。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4、中标产品如有两票制要求则须执行两票制相关要求；中标产品如安徽省医药集中采购中心有相关要求，则须执行安徽省医药集中采购中心相关要求。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5、服务期内如遇国家、省医保带量采购等相关政策调整，按国家、省医保带量采购等相关政策执行。</w:t>
            </w:r>
          </w:p>
        </w:tc>
      </w:tr>
    </w:tbl>
    <w:p>
      <w:pPr>
        <w:pStyle w:val="11"/>
        <w:ind w:left="0" w:leftChars="0" w:firstLine="0" w:firstLineChars="0"/>
        <w:rPr>
          <w:rFonts w:hint="eastAsia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hAnsi="宋体"/>
          <w:b/>
          <w:bCs/>
          <w:color w:val="auto"/>
          <w:sz w:val="24"/>
          <w:highlight w:val="none"/>
          <w:lang w:val="en-US" w:eastAsia="zh-CN"/>
        </w:rPr>
        <w:t>2包：</w:t>
      </w:r>
    </w:p>
    <w:tbl>
      <w:tblPr>
        <w:tblStyle w:val="9"/>
        <w:tblW w:w="9229" w:type="dxa"/>
        <w:tblInd w:w="-2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200"/>
        <w:gridCol w:w="5234"/>
        <w:gridCol w:w="988"/>
        <w:gridCol w:w="1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746" w:type="dxa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5234" w:type="dxa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highlight w:val="none"/>
              </w:rPr>
              <w:t>技术参数</w:t>
            </w:r>
          </w:p>
        </w:tc>
        <w:tc>
          <w:tcPr>
            <w:tcW w:w="988" w:type="dxa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年约使用量</w:t>
            </w:r>
          </w:p>
        </w:tc>
        <w:tc>
          <w:tcPr>
            <w:tcW w:w="1061" w:type="dxa"/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采购限价（元）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746" w:type="dxa"/>
            <w:shd w:val="clear" w:color="auto" w:fill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textAlignment w:val="baseline"/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1"/>
                <w:highlight w:val="none"/>
              </w:rPr>
              <w:t>一次性使用硬膜外麻醉导管</w:t>
            </w:r>
          </w:p>
        </w:tc>
        <w:tc>
          <w:tcPr>
            <w:tcW w:w="5234" w:type="dxa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、要求采用医用级材料制成，弹性、软硬度适中，管体柔软。 </w:t>
            </w:r>
          </w:p>
          <w:p>
            <w:pPr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、打孔选择头端、分阶段或头端与分阶段结合等部位；</w:t>
            </w:r>
          </w:p>
        </w:tc>
        <w:tc>
          <w:tcPr>
            <w:tcW w:w="988" w:type="dxa"/>
            <w:shd w:val="clear" w:color="auto" w:fill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textAlignment w:val="baseline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</w:rPr>
              <w:t>00</w:t>
            </w:r>
          </w:p>
        </w:tc>
        <w:tc>
          <w:tcPr>
            <w:tcW w:w="1061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746" w:type="dxa"/>
            <w:shd w:val="clear" w:color="auto" w:fill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00" w:type="dxa"/>
            <w:shd w:val="clear" w:color="auto" w:fill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textAlignment w:val="baseline"/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1"/>
                <w:highlight w:val="none"/>
              </w:rPr>
              <w:t>活检针</w:t>
            </w:r>
          </w:p>
        </w:tc>
        <w:tc>
          <w:tcPr>
            <w:tcW w:w="52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由手柄和活检针组成，手柄由树脂和热塑性弹性体构成，活检针由304不锈钢穿刺针和同心套管组成。套管上有厘米刻度标识。规格：16g×16cm。</w:t>
            </w:r>
          </w:p>
        </w:tc>
        <w:tc>
          <w:tcPr>
            <w:tcW w:w="988" w:type="dxa"/>
            <w:shd w:val="clear" w:color="auto" w:fill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textAlignment w:val="baseline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ascii="宋体" w:hAnsi="宋体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061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  <w:r>
              <w:rPr>
                <w:rFonts w:ascii="宋体" w:hAnsi="宋体" w:cs="宋体"/>
                <w:bCs/>
                <w:color w:val="auto"/>
                <w:szCs w:val="21"/>
                <w:highlight w:val="none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229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说明：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1、投标人的投标文件必须标明所投货物的品牌与参数，保证原厂正品供货，提供相关资料等。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2、合同期：二年配送服务。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3、本项目一次性规划，分步实施，按实结算。本项目耗材进入我院SPD管理。</w:t>
            </w:r>
          </w:p>
          <w:p>
            <w:pPr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4、中标产品如有两票制要求则须执行两票制相关要求；中标产品如安徽省医药集中采购中心有相关要求，则须执行安徽省医药集中采购中心相关要求。</w:t>
            </w:r>
          </w:p>
          <w:p>
            <w:pPr>
              <w:spacing w:line="360" w:lineRule="exact"/>
              <w:jc w:val="left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5、服务期内如遇国家、省医保带量采购等相关政策调整，按国家、省医保带量采购等相关政策执行。</w:t>
            </w:r>
          </w:p>
        </w:tc>
      </w:tr>
    </w:tbl>
    <w:p>
      <w:pPr>
        <w:spacing w:line="360" w:lineRule="exact"/>
        <w:rPr>
          <w:rFonts w:hint="eastAsia" w:ascii="宋体" w:hAnsi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二、人员培训要求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货物安装、调试、验收合格后，中标人应对招标人的相关人员进行免费现场培训。</w:t>
      </w:r>
    </w:p>
    <w:p>
      <w:pPr>
        <w:spacing w:line="360" w:lineRule="exact"/>
        <w:rPr>
          <w:rFonts w:ascii="宋体" w:hAnsi="宋体"/>
          <w:b/>
          <w:bCs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highlight w:val="none"/>
        </w:rPr>
        <w:t>、货物质量</w:t>
      </w:r>
      <w:bookmarkEnd w:id="2"/>
      <w:bookmarkEnd w:id="3"/>
      <w:bookmarkEnd w:id="4"/>
      <w:bookmarkEnd w:id="5"/>
      <w:bookmarkEnd w:id="6"/>
      <w:r>
        <w:rPr>
          <w:rFonts w:hint="eastAsia" w:ascii="宋体" w:hAnsi="宋体"/>
          <w:b/>
          <w:bCs/>
          <w:color w:val="auto"/>
          <w:kern w:val="0"/>
          <w:sz w:val="21"/>
          <w:szCs w:val="21"/>
          <w:highlight w:val="none"/>
        </w:rPr>
        <w:t>及售后服务承诺</w:t>
      </w:r>
    </w:p>
    <w:p>
      <w:pPr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/>
          <w:color w:val="auto"/>
          <w:sz w:val="21"/>
          <w:szCs w:val="21"/>
          <w:highlight w:val="none"/>
        </w:rPr>
        <w:t>货物质量：中标人提供的货物必须是全新、原装、合格正品，完全符合国家规定的质量标准</w:t>
      </w:r>
    </w:p>
    <w:p>
      <w:pPr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和厂方的标准。货物完好，配件齐全。</w:t>
      </w:r>
    </w:p>
    <w:p>
      <w:pPr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2、</w:t>
      </w:r>
      <w:bookmarkStart w:id="7" w:name="_Toc22545"/>
      <w:bookmarkStart w:id="8" w:name="_Toc490682728"/>
      <w:bookmarkStart w:id="9" w:name="_Toc7671"/>
      <w:bookmarkStart w:id="10" w:name="_Toc23093"/>
      <w:bookmarkStart w:id="11" w:name="_Toc14892"/>
      <w:r>
        <w:rPr>
          <w:rFonts w:hint="eastAsia"/>
          <w:color w:val="auto"/>
          <w:sz w:val="21"/>
          <w:szCs w:val="21"/>
          <w:highlight w:val="none"/>
        </w:rPr>
        <w:t>保修及售后服务：依据商品的保修条款及售后服务条款，提供原厂质保，质保期按照国家规</w:t>
      </w:r>
    </w:p>
    <w:p>
      <w:pPr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定，且不低于所供品牌向用户承诺的质保期限。招标文件另有约定的从其约定。质保期从货物验收</w:t>
      </w:r>
    </w:p>
    <w:p>
      <w:pPr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合格后算起。</w:t>
      </w:r>
    </w:p>
    <w:p>
      <w:pPr>
        <w:spacing w:line="360" w:lineRule="exact"/>
        <w:rPr>
          <w:rFonts w:ascii="宋体" w:hAnsi="宋体"/>
          <w:b/>
          <w:bCs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kern w:val="0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highlight w:val="none"/>
        </w:rPr>
        <w:t>、验收</w:t>
      </w:r>
      <w:bookmarkEnd w:id="7"/>
      <w:bookmarkEnd w:id="8"/>
      <w:bookmarkEnd w:id="9"/>
      <w:bookmarkEnd w:id="10"/>
      <w:bookmarkEnd w:id="11"/>
    </w:p>
    <w:p>
      <w:r>
        <w:rPr>
          <w:rFonts w:hint="eastAsia" w:ascii="宋体" w:hAnsi="宋体"/>
          <w:color w:val="auto"/>
          <w:szCs w:val="21"/>
          <w:highlight w:val="none"/>
        </w:rPr>
        <w:t xml:space="preserve"> 中标人和招标人双方共同实施验收工作，结果经双方确认后生效。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1Y2UzYjEyYzhkNWI2NDkxNzA5YmY3MGM2ZTc5YWEifQ=="/>
  </w:docVars>
  <w:rsids>
    <w:rsidRoot w:val="00000000"/>
    <w:rsid w:val="60DC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before="100" w:after="100"/>
      <w:jc w:val="center"/>
      <w:outlineLvl w:val="0"/>
    </w:pPr>
    <w:rPr>
      <w:b/>
      <w:bCs/>
      <w:kern w:val="44"/>
      <w:sz w:val="32"/>
      <w:szCs w:val="4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5">
    <w:name w:val="Body Text"/>
    <w:basedOn w:val="1"/>
    <w:next w:val="6"/>
    <w:unhideWhenUsed/>
    <w:qFormat/>
    <w:uiPriority w:val="99"/>
    <w:pPr>
      <w:spacing w:line="460" w:lineRule="exact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1">
    <w:name w:val="模板普通正文"/>
    <w:basedOn w:val="3"/>
    <w:qFormat/>
    <w:uiPriority w:val="0"/>
    <w:pPr>
      <w:spacing w:beforeLines="50" w:after="10"/>
      <w:ind w:firstLine="490" w:firstLineChars="175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2023-03-07T01:14:22Z</dcterms:created>
  <dc:creator>0520</dc:creator>
  <cp:lastModifiedBy>WPS_1425723292</cp:lastModifiedBy>
  <dcterms:modified xsi:type="dcterms:W3CDTF">2023-03-07T01:14:55Z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D949EC9D28E74BAE96FF99F67A2D8070</vt:lpwstr>
  </property>
</Properties>
</file>