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color w:val="000000"/>
        </w:rPr>
      </w:pPr>
      <w:bookmarkStart w:id="0" w:name="_Toc12616"/>
      <w:bookmarkStart w:id="1" w:name="_Toc490233120"/>
      <w:r>
        <w:rPr>
          <w:rFonts w:hint="eastAsia"/>
          <w:color w:val="000000"/>
        </w:rPr>
        <w:t>货物需求及技术要求</w:t>
      </w:r>
      <w:bookmarkEnd w:id="0"/>
      <w:bookmarkEnd w:id="1"/>
    </w:p>
    <w:p>
      <w:pPr>
        <w:widowControl/>
        <w:spacing w:line="360" w:lineRule="auto"/>
        <w:ind w:firstLine="430"/>
        <w:jc w:val="left"/>
        <w:rPr>
          <w:rFonts w:ascii="宋体" w:hAnsi="宋体" w:cs="宋体"/>
          <w:b/>
          <w:szCs w:val="21"/>
        </w:rPr>
      </w:pPr>
      <w:bookmarkStart w:id="2" w:name="_Toc7241"/>
      <w:bookmarkStart w:id="3" w:name="_Toc12315"/>
      <w:bookmarkStart w:id="4" w:name="_Toc24523"/>
      <w:r>
        <w:rPr>
          <w:rFonts w:hint="eastAsia" w:ascii="宋体" w:hAnsi="宋体"/>
          <w:b/>
          <w:bCs/>
          <w:szCs w:val="21"/>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pPr>
        <w:widowControl/>
        <w:spacing w:line="360" w:lineRule="auto"/>
        <w:ind w:left="420" w:leftChars="200"/>
        <w:rPr>
          <w:rFonts w:ascii="宋体" w:hAnsi="宋体" w:cs="宋体"/>
          <w:b/>
          <w:szCs w:val="21"/>
        </w:rPr>
      </w:pPr>
      <w:r>
        <w:rPr>
          <w:rFonts w:hint="eastAsia" w:ascii="宋体" w:hAnsi="宋体" w:cs="宋体"/>
          <w:b/>
          <w:szCs w:val="21"/>
        </w:rPr>
        <w:t>一、</w:t>
      </w:r>
      <w:bookmarkStart w:id="5" w:name="_Toc175644394"/>
      <w:bookmarkStart w:id="6" w:name="_Toc98035089"/>
      <w:bookmarkStart w:id="7" w:name="_Toc50276165"/>
      <w:bookmarkStart w:id="8" w:name="_Toc42313172"/>
      <w:bookmarkStart w:id="9" w:name="_Toc41723936"/>
      <w:bookmarkStart w:id="10" w:name="_Toc41884706"/>
      <w:bookmarkStart w:id="11" w:name="_Toc272497418"/>
      <w:bookmarkStart w:id="12" w:name="_Toc46308687"/>
      <w:bookmarkStart w:id="13" w:name="_Toc50276204"/>
      <w:bookmarkStart w:id="14" w:name="_Toc42394517"/>
      <w:bookmarkStart w:id="15" w:name="_Toc273520768"/>
      <w:bookmarkStart w:id="16" w:name="_Toc42394673"/>
      <w:bookmarkStart w:id="17" w:name="_Toc98579069"/>
      <w:bookmarkStart w:id="18" w:name="_Toc101843125"/>
      <w:bookmarkStart w:id="19" w:name="_Toc98579011"/>
      <w:bookmarkStart w:id="20" w:name="_Toc101951263"/>
      <w:bookmarkStart w:id="21" w:name="_Toc101775125"/>
      <w:bookmarkStart w:id="22" w:name="_Toc101771372"/>
      <w:bookmarkStart w:id="23" w:name="_Toc98580293"/>
      <w:bookmarkStart w:id="24" w:name="_Toc98579610"/>
      <w:bookmarkStart w:id="25" w:name="_Toc46308531"/>
      <w:r>
        <w:rPr>
          <w:rFonts w:hint="eastAsia" w:ascii="宋体" w:hAnsi="宋体" w:cs="宋体"/>
          <w:b/>
          <w:szCs w:val="21"/>
        </w:rPr>
        <w:t>货物需求一览表</w:t>
      </w:r>
    </w:p>
    <w:tbl>
      <w:tblPr>
        <w:tblStyle w:val="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731"/>
        <w:gridCol w:w="281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2" w:type="pct"/>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6" w:type="pct"/>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1683" w:type="pct"/>
            <w:vAlign w:val="center"/>
          </w:tcPr>
          <w:p>
            <w:pPr>
              <w:jc w:val="center"/>
              <w:rPr>
                <w:rFonts w:ascii="宋体" w:hAnsi="宋体" w:cs="宋体"/>
                <w:color w:val="000000"/>
                <w:szCs w:val="21"/>
              </w:rPr>
            </w:pPr>
            <w:r>
              <w:rPr>
                <w:rFonts w:hint="eastAsia" w:ascii="宋体" w:hAnsi="宋体" w:cs="宋体"/>
                <w:b/>
                <w:bCs/>
                <w:szCs w:val="21"/>
              </w:rPr>
              <w:t>数量</w:t>
            </w:r>
          </w:p>
        </w:tc>
        <w:tc>
          <w:tcPr>
            <w:tcW w:w="1197" w:type="pct"/>
            <w:vAlign w:val="center"/>
          </w:tcPr>
          <w:p>
            <w:pPr>
              <w:jc w:val="center"/>
              <w:rPr>
                <w:rFonts w:ascii="宋体" w:hAnsi="宋体" w:cs="宋体"/>
                <w:color w:val="000000"/>
                <w:szCs w:val="21"/>
              </w:rPr>
            </w:pPr>
            <w:r>
              <w:rPr>
                <w:rFonts w:hint="eastAsia" w:ascii="宋体" w:hAnsi="宋体" w:cs="宋体"/>
                <w:b/>
                <w:bCs/>
                <w:szCs w:val="21"/>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pct"/>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636" w:type="pct"/>
            <w:vAlign w:val="center"/>
          </w:tcPr>
          <w:p>
            <w:pPr>
              <w:widowControl/>
              <w:snapToGrid w:val="0"/>
              <w:spacing w:line="200" w:lineRule="atLeast"/>
              <w:jc w:val="center"/>
              <w:rPr>
                <w:rFonts w:ascii="宋体" w:hAnsi="宋体" w:cs="宋体"/>
                <w:color w:val="000000"/>
                <w:szCs w:val="21"/>
              </w:rPr>
            </w:pPr>
            <w:r>
              <w:rPr>
                <w:rFonts w:hint="eastAsia" w:ascii="宋体" w:hAnsi="宋体" w:cs="宋体"/>
                <w:szCs w:val="21"/>
              </w:rPr>
              <w:t>全自动糖化血红蛋白分析仪</w:t>
            </w:r>
          </w:p>
        </w:tc>
        <w:tc>
          <w:tcPr>
            <w:tcW w:w="1683" w:type="pct"/>
            <w:vAlign w:val="center"/>
          </w:tcPr>
          <w:p>
            <w:pPr>
              <w:jc w:val="center"/>
              <w:rPr>
                <w:rFonts w:ascii="宋体" w:hAnsi="宋体" w:cs="宋体"/>
                <w:lang w:val="zh-TW" w:eastAsia="zh-TW"/>
              </w:rPr>
            </w:pPr>
            <w:r>
              <w:rPr>
                <w:rFonts w:hint="eastAsia" w:ascii="宋体" w:hAnsi="宋体" w:cs="宋体"/>
                <w:szCs w:val="21"/>
              </w:rPr>
              <w:t>一台</w:t>
            </w:r>
          </w:p>
        </w:tc>
        <w:tc>
          <w:tcPr>
            <w:tcW w:w="1197" w:type="pct"/>
            <w:vAlign w:val="center"/>
          </w:tcPr>
          <w:p>
            <w:pPr>
              <w:jc w:val="center"/>
              <w:rPr>
                <w:rFonts w:ascii="宋体" w:hAnsi="宋体" w:cs="宋体"/>
                <w:color w:val="000000"/>
                <w:szCs w:val="21"/>
              </w:rPr>
            </w:pPr>
            <w:r>
              <w:rPr>
                <w:rFonts w:hint="eastAsia" w:ascii="宋体" w:hAnsi="宋体" w:cs="宋体"/>
                <w:szCs w:val="21"/>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82" w:type="pct"/>
            <w:vAlign w:val="center"/>
          </w:tcPr>
          <w:p>
            <w:pPr>
              <w:pStyle w:val="5"/>
              <w:widowControl/>
              <w:spacing w:line="360" w:lineRule="auto"/>
              <w:jc w:val="center"/>
              <w:rPr>
                <w:rFonts w:ascii="宋体" w:hAnsi="宋体" w:cs="宋体"/>
                <w:color w:val="000000"/>
                <w:szCs w:val="21"/>
              </w:rPr>
            </w:pPr>
            <w:r>
              <w:rPr>
                <w:rFonts w:hint="eastAsia" w:ascii="宋体" w:hAnsi="宋体" w:cs="宋体"/>
                <w:color w:val="000000"/>
                <w:szCs w:val="21"/>
              </w:rPr>
              <w:t>2</w:t>
            </w:r>
          </w:p>
        </w:tc>
        <w:tc>
          <w:tcPr>
            <w:tcW w:w="1636" w:type="pct"/>
            <w:vAlign w:val="center"/>
          </w:tcPr>
          <w:p>
            <w:pPr>
              <w:widowControl/>
              <w:snapToGrid w:val="0"/>
              <w:spacing w:line="200" w:lineRule="atLeast"/>
              <w:jc w:val="center"/>
              <w:rPr>
                <w:rFonts w:ascii="宋体" w:hAnsi="宋体" w:cs="宋体"/>
                <w:szCs w:val="21"/>
              </w:rPr>
            </w:pPr>
            <w:r>
              <w:rPr>
                <w:rFonts w:hint="eastAsia" w:ascii="宋体" w:hAnsi="宋体" w:cs="宋体"/>
                <w:szCs w:val="21"/>
              </w:rPr>
              <w:t>全自动糖化血红蛋白分析仪</w:t>
            </w:r>
          </w:p>
          <w:p>
            <w:pPr>
              <w:widowControl/>
              <w:snapToGrid w:val="0"/>
              <w:spacing w:line="200" w:lineRule="atLeast"/>
              <w:jc w:val="center"/>
              <w:rPr>
                <w:rFonts w:ascii="宋体" w:hAnsi="宋体" w:cs="宋体"/>
                <w:color w:val="000000"/>
                <w:szCs w:val="21"/>
              </w:rPr>
            </w:pPr>
            <w:r>
              <w:rPr>
                <w:rFonts w:hint="eastAsia" w:ascii="宋体" w:hAnsi="宋体" w:cs="宋体"/>
                <w:szCs w:val="21"/>
              </w:rPr>
              <w:t>配套检测试剂</w:t>
            </w:r>
          </w:p>
        </w:tc>
        <w:tc>
          <w:tcPr>
            <w:tcW w:w="1683" w:type="pct"/>
            <w:vAlign w:val="center"/>
          </w:tcPr>
          <w:p>
            <w:pPr>
              <w:jc w:val="center"/>
              <w:rPr>
                <w:rFonts w:ascii="宋体" w:hAnsi="宋体" w:cs="宋体"/>
                <w:lang w:val="zh-TW" w:eastAsia="zh-TW"/>
              </w:rPr>
            </w:pPr>
            <w:r>
              <w:rPr>
                <w:rFonts w:hint="eastAsia" w:ascii="宋体" w:hAnsi="宋体" w:cs="宋体"/>
                <w:szCs w:val="21"/>
              </w:rPr>
              <w:t>二年约使用量15000人份</w:t>
            </w:r>
          </w:p>
        </w:tc>
        <w:tc>
          <w:tcPr>
            <w:tcW w:w="1197" w:type="pct"/>
            <w:vAlign w:val="center"/>
          </w:tcPr>
          <w:p>
            <w:pPr>
              <w:jc w:val="center"/>
              <w:rPr>
                <w:rFonts w:ascii="宋体" w:hAnsi="宋体" w:cs="宋体"/>
                <w:color w:val="000000"/>
                <w:szCs w:val="21"/>
              </w:rPr>
            </w:pPr>
            <w:r>
              <w:rPr>
                <w:rFonts w:hint="eastAsia" w:ascii="宋体" w:hAnsi="宋体" w:cs="宋体"/>
                <w:szCs w:val="21"/>
              </w:rPr>
              <w:t>18元/人份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4"/>
            <w:vAlign w:val="center"/>
          </w:tcPr>
          <w:p>
            <w:pPr>
              <w:spacing w:line="360" w:lineRule="auto"/>
              <w:jc w:val="left"/>
              <w:rPr>
                <w:rFonts w:ascii="宋体" w:hAnsi="宋体" w:cs="宋体"/>
                <w:szCs w:val="21"/>
              </w:rPr>
            </w:pPr>
            <w:r>
              <w:rPr>
                <w:rFonts w:hint="eastAsia" w:ascii="宋体" w:hAnsi="宋体" w:cs="宋体"/>
                <w:szCs w:val="21"/>
              </w:rPr>
              <w:t>说明：</w:t>
            </w:r>
          </w:p>
          <w:p>
            <w:pPr>
              <w:spacing w:line="360" w:lineRule="auto"/>
              <w:ind w:firstLine="420" w:firstLineChars="200"/>
              <w:jc w:val="left"/>
              <w:rPr>
                <w:rFonts w:ascii="宋体" w:hAnsi="宋体" w:cs="宋体"/>
                <w:szCs w:val="21"/>
              </w:rPr>
            </w:pPr>
            <w:r>
              <w:rPr>
                <w:rFonts w:hint="eastAsia" w:ascii="宋体" w:hAnsi="宋体" w:cs="宋体"/>
                <w:szCs w:val="21"/>
              </w:rPr>
              <w:t>1、投标人的投标文件必须标明所投货物的品牌与参数，保证原厂正品供货，提供相关资料等。</w:t>
            </w:r>
          </w:p>
          <w:p>
            <w:pPr>
              <w:spacing w:line="360" w:lineRule="auto"/>
              <w:ind w:firstLine="420" w:firstLineChars="200"/>
              <w:jc w:val="left"/>
              <w:rPr>
                <w:rFonts w:ascii="宋体" w:hAnsi="宋体" w:cs="宋体"/>
                <w:szCs w:val="21"/>
              </w:rPr>
            </w:pPr>
            <w:r>
              <w:rPr>
                <w:rFonts w:hint="eastAsia" w:ascii="宋体" w:hAnsi="宋体" w:cs="宋体"/>
                <w:szCs w:val="21"/>
              </w:rPr>
              <w:t>2、服务期（供货周期）：合同签订后两年。所投设备的质保期为两年，质保期内每年免费提供2次维护保养。</w:t>
            </w:r>
          </w:p>
          <w:p>
            <w:pPr>
              <w:spacing w:line="360" w:lineRule="auto"/>
              <w:ind w:firstLine="420" w:firstLineChars="200"/>
              <w:jc w:val="left"/>
              <w:rPr>
                <w:rFonts w:ascii="宋体" w:hAnsi="宋体" w:cs="宋体"/>
                <w:szCs w:val="21"/>
              </w:rPr>
            </w:pPr>
            <w:r>
              <w:rPr>
                <w:rFonts w:hint="eastAsia" w:ascii="宋体" w:hAnsi="宋体" w:cs="宋体"/>
                <w:szCs w:val="21"/>
              </w:rPr>
              <w:t>3、检测所用配套耗材及质控品、校准品均免费提供。设备在安装使用过程中涉及到的LIS费用、保养、维修等，由中标人承担。</w:t>
            </w:r>
          </w:p>
          <w:p>
            <w:pPr>
              <w:spacing w:line="360" w:lineRule="auto"/>
              <w:ind w:firstLine="420" w:firstLineChars="200"/>
              <w:jc w:val="left"/>
              <w:rPr>
                <w:rFonts w:ascii="宋体" w:hAnsi="宋体" w:cs="宋体"/>
                <w:szCs w:val="21"/>
              </w:rPr>
            </w:pPr>
            <w:r>
              <w:rPr>
                <w:rFonts w:hint="eastAsia" w:ascii="宋体" w:hAnsi="宋体" w:cs="宋体"/>
                <w:szCs w:val="21"/>
              </w:rPr>
              <w:t>4、本项目耗材进入我院SPD管理。服务期内如遇国家、省医保带量采购等相关政策调整，按国家、省医保带量采购等相关政策执行。</w:t>
            </w:r>
          </w:p>
          <w:p>
            <w:pPr>
              <w:spacing w:line="360" w:lineRule="auto"/>
              <w:ind w:left="420" w:leftChars="200"/>
              <w:jc w:val="left"/>
              <w:rPr>
                <w:rFonts w:ascii="宋体" w:hAnsi="宋体" w:cs="宋体"/>
                <w:szCs w:val="21"/>
              </w:rPr>
            </w:pPr>
            <w:r>
              <w:rPr>
                <w:rFonts w:hint="eastAsia" w:ascii="宋体" w:hAnsi="宋体" w:cs="宋体"/>
                <w:szCs w:val="21"/>
              </w:rPr>
              <w:t>5、二年约使用量仅代表医院过去二年使用该试剂耗材的估量，仅供投标人报价时参考。</w:t>
            </w:r>
            <w:r>
              <w:rPr>
                <w:rFonts w:hint="eastAsia" w:ascii="宋体" w:hAnsi="宋体" w:cs="宋体"/>
                <w:szCs w:val="21"/>
              </w:rPr>
              <w:br w:type="textWrapping"/>
            </w:r>
            <w:r>
              <w:rPr>
                <w:rFonts w:hint="eastAsia" w:ascii="宋体" w:hAnsi="宋体" w:cs="宋体"/>
                <w:szCs w:val="21"/>
              </w:rPr>
              <w:t>6、投标人须承诺：</w:t>
            </w:r>
          </w:p>
          <w:p>
            <w:pPr>
              <w:spacing w:line="360" w:lineRule="auto"/>
              <w:ind w:firstLine="420" w:firstLineChars="200"/>
              <w:jc w:val="left"/>
              <w:rPr>
                <w:rFonts w:ascii="宋体" w:hAnsi="宋体" w:cs="宋体"/>
                <w:szCs w:val="21"/>
              </w:rPr>
            </w:pPr>
            <w:r>
              <w:rPr>
                <w:rFonts w:hint="eastAsia" w:ascii="宋体" w:hAnsi="宋体" w:cs="宋体"/>
                <w:szCs w:val="21"/>
              </w:rPr>
              <w:t>（1）中标产品如有两票制要求则须执行两票制相关要求；</w:t>
            </w:r>
          </w:p>
          <w:p>
            <w:pPr>
              <w:spacing w:line="360" w:lineRule="auto"/>
              <w:ind w:firstLine="420" w:firstLineChars="200"/>
              <w:jc w:val="left"/>
              <w:rPr>
                <w:rFonts w:ascii="宋体" w:hAnsi="宋体" w:cs="宋体"/>
                <w:szCs w:val="21"/>
              </w:rPr>
            </w:pPr>
            <w:r>
              <w:rPr>
                <w:rFonts w:hint="eastAsia" w:ascii="宋体" w:hAnsi="宋体" w:cs="宋体"/>
                <w:szCs w:val="21"/>
              </w:rPr>
              <w:t>（2）中标产品如安徽省医药集中采购中心有相关要求，则须执行安徽省医药集中采购中心相关要求。</w:t>
            </w:r>
            <w:r>
              <w:rPr>
                <w:rFonts w:hint="eastAsia" w:ascii="宋体" w:hAnsi="宋体" w:cs="宋体"/>
                <w:b/>
                <w:bCs/>
                <w:szCs w:val="21"/>
              </w:rPr>
              <w:t>本项须提供承诺函加盖投标人公章。</w:t>
            </w:r>
            <w:r>
              <w:rPr>
                <w:rFonts w:hint="eastAsia" w:ascii="宋体" w:hAnsi="宋体" w:cs="宋体"/>
                <w:szCs w:val="21"/>
              </w:rPr>
              <w:br w:type="textWrapping"/>
            </w:r>
            <w:r>
              <w:rPr>
                <w:rFonts w:hint="eastAsia" w:ascii="宋体" w:hAnsi="宋体" w:cs="宋体"/>
                <w:szCs w:val="21"/>
              </w:rPr>
              <w:t xml:space="preserve">    7、投标人须在投标文件中提供标★项技术参数的技术证明文件之一（医疗器械注册证、医疗器械注册登记表、第三方检测报告、产品技术白皮书、产品使用说明书）予以证明。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若中标人未在招标文件要求的期限内提供相关技术证明文件或中标人提供的相关技术证明文件不能完全符合招标文件要求，则视为虚假响应。</w:t>
            </w:r>
          </w:p>
          <w:p>
            <w:pPr>
              <w:spacing w:line="360" w:lineRule="auto"/>
              <w:ind w:firstLine="420" w:firstLineChars="200"/>
              <w:jc w:val="left"/>
              <w:rPr>
                <w:rFonts w:ascii="宋体" w:hAnsi="宋体" w:cs="宋体"/>
                <w:color w:val="000000"/>
                <w:szCs w:val="21"/>
              </w:rPr>
            </w:pPr>
            <w:r>
              <w:rPr>
                <w:rFonts w:hint="eastAsia" w:ascii="宋体" w:hAnsi="宋体" w:cs="宋体"/>
                <w:szCs w:val="21"/>
              </w:rPr>
              <w:t>8、中标人供货价格计算方式如下：单价最高限价×中标费率=供货单价</w:t>
            </w: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b/>
                <w:bCs/>
                <w:szCs w:val="21"/>
              </w:rPr>
              <w:t>本次采购最高投标费率：100%</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spacing w:line="360" w:lineRule="auto"/>
        <w:ind w:firstLine="422" w:firstLineChars="200"/>
        <w:rPr>
          <w:rFonts w:ascii="宋体" w:hAnsi="宋体" w:cs="宋体"/>
          <w:b/>
          <w:bCs/>
          <w:szCs w:val="21"/>
        </w:rPr>
      </w:pPr>
      <w:r>
        <w:rPr>
          <w:rFonts w:hint="eastAsia" w:ascii="宋体" w:hAnsi="宋体" w:cs="宋体"/>
          <w:b/>
          <w:bCs/>
          <w:szCs w:val="21"/>
        </w:rPr>
        <w:t>二、全自动糖化血红蛋白分析仪技术参数要求</w:t>
      </w:r>
    </w:p>
    <w:p>
      <w:pPr>
        <w:spacing w:line="360" w:lineRule="auto"/>
        <w:ind w:firstLine="420" w:firstLineChars="200"/>
        <w:rPr>
          <w:rFonts w:ascii="宋体" w:hAnsi="宋体" w:cs="宋体"/>
          <w:lang w:val="zh-TW"/>
        </w:rPr>
      </w:pPr>
      <w:r>
        <w:rPr>
          <w:rFonts w:hint="eastAsia" w:ascii="宋体" w:hAnsi="宋体" w:cs="宋体"/>
        </w:rPr>
        <w:t>1、</w:t>
      </w:r>
      <w:r>
        <w:rPr>
          <w:rFonts w:hint="eastAsia" w:ascii="宋体" w:hAnsi="宋体" w:cs="宋体"/>
          <w:lang w:val="zh-TW" w:eastAsia="zh-TW"/>
        </w:rPr>
        <w:t>检测原理：采用离子交换高效液相色谱法HPLC</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2、</w:t>
      </w:r>
      <w:r>
        <w:rPr>
          <w:rFonts w:hint="eastAsia" w:ascii="宋体" w:hAnsi="宋体" w:cs="宋体"/>
          <w:lang w:val="zh-TW" w:eastAsia="zh-TW"/>
        </w:rPr>
        <w:t>线性范围：</w:t>
      </w:r>
      <w:r>
        <w:rPr>
          <w:rFonts w:hint="eastAsia" w:ascii="宋体" w:hAnsi="宋体" w:cs="宋体"/>
          <w:lang w:eastAsia="zh-TW"/>
        </w:rPr>
        <w:t>NGSP</w:t>
      </w:r>
      <w:r>
        <w:rPr>
          <w:rFonts w:hint="eastAsia" w:ascii="宋体" w:hAnsi="宋体" w:cs="宋体"/>
          <w:lang w:val="zh-TW" w:eastAsia="zh-TW"/>
        </w:rPr>
        <w:t>值</w:t>
      </w:r>
      <w:r>
        <w:rPr>
          <w:rFonts w:hint="eastAsia" w:ascii="宋体" w:hAnsi="宋体" w:cs="宋体"/>
          <w:lang w:eastAsia="zh-TW"/>
        </w:rPr>
        <w:t>:3-20.1%</w:t>
      </w:r>
      <w:r>
        <w:rPr>
          <w:rFonts w:hint="eastAsia" w:ascii="宋体" w:hAnsi="宋体" w:cs="宋体"/>
          <w:lang w:val="zh-TW" w:eastAsia="zh-TW"/>
        </w:rPr>
        <w:t>；</w:t>
      </w:r>
      <w:r>
        <w:rPr>
          <w:rFonts w:hint="eastAsia" w:ascii="宋体" w:hAnsi="宋体" w:cs="宋体"/>
          <w:lang w:eastAsia="zh-TW"/>
        </w:rPr>
        <w:t>IFCC</w:t>
      </w:r>
      <w:r>
        <w:rPr>
          <w:rFonts w:hint="eastAsia" w:ascii="宋体" w:hAnsi="宋体" w:cs="宋体"/>
          <w:lang w:val="zh-TW" w:eastAsia="zh-TW"/>
        </w:rPr>
        <w:t>值</w:t>
      </w:r>
      <w:r>
        <w:rPr>
          <w:rFonts w:hint="eastAsia" w:ascii="宋体" w:hAnsi="宋体" w:cs="宋体"/>
          <w:lang w:eastAsia="zh-TW"/>
        </w:rPr>
        <w:t>:9.3-196mmol/mol</w:t>
      </w:r>
      <w:r>
        <w:rPr>
          <w:rFonts w:hint="eastAsia" w:ascii="宋体" w:hAnsi="宋体" w:cs="宋体"/>
        </w:rPr>
        <w:t>。</w:t>
      </w:r>
    </w:p>
    <w:p>
      <w:pPr>
        <w:spacing w:line="360" w:lineRule="auto"/>
        <w:ind w:firstLine="210" w:firstLineChars="100"/>
        <w:rPr>
          <w:rFonts w:ascii="宋体" w:hAnsi="宋体" w:cs="宋体"/>
          <w:lang w:val="zh-TW" w:eastAsia="zh-TW"/>
        </w:rPr>
      </w:pPr>
      <w:r>
        <w:rPr>
          <w:rFonts w:hint="eastAsia" w:ascii="宋体" w:hAnsi="宋体" w:cs="宋体"/>
          <w:lang w:val="zh-TW" w:eastAsia="zh-TW"/>
        </w:rPr>
        <w:t>★</w:t>
      </w:r>
      <w:r>
        <w:rPr>
          <w:rFonts w:hint="eastAsia" w:ascii="宋体" w:hAnsi="宋体" w:cs="宋体"/>
        </w:rPr>
        <w:t>3、</w:t>
      </w:r>
      <w:r>
        <w:rPr>
          <w:rFonts w:hint="eastAsia" w:ascii="宋体" w:hAnsi="宋体" w:cs="宋体"/>
          <w:lang w:val="zh-TW" w:eastAsia="zh-TW"/>
        </w:rPr>
        <w:t>抗干扰能力：在新鲜血样中，胆红素F浓度低于18mg/dL胆红素C浓度低于18mg/dL乳糜浓度低于1400FTU，溶血血红蛋白浓度低于450mg/dL，抗坏血酸浓度低于50mg/dL，葡萄糖浓度低于1200mg/dL时，乙醛浓度低于60mg/dL时对糖化血红蛋白测定结果无干扰。</w:t>
      </w:r>
    </w:p>
    <w:p>
      <w:pPr>
        <w:spacing w:line="360" w:lineRule="auto"/>
        <w:ind w:firstLine="420" w:firstLineChars="200"/>
        <w:rPr>
          <w:rFonts w:ascii="宋体" w:hAnsi="宋体" w:cs="宋体"/>
          <w:lang w:val="zh-TW"/>
        </w:rPr>
      </w:pPr>
      <w:r>
        <w:rPr>
          <w:rFonts w:hint="eastAsia" w:ascii="宋体" w:hAnsi="宋体" w:cs="宋体"/>
        </w:rPr>
        <w:t>4、</w:t>
      </w:r>
      <w:r>
        <w:rPr>
          <w:rFonts w:hint="eastAsia" w:ascii="宋体" w:hAnsi="宋体" w:cs="宋体"/>
          <w:lang w:val="zh-TW" w:eastAsia="zh-TW"/>
        </w:rPr>
        <w:t>检测波长：双波长（415nm、525nm）</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5、</w:t>
      </w:r>
      <w:r>
        <w:rPr>
          <w:rFonts w:hint="eastAsia" w:ascii="宋体" w:hAnsi="宋体" w:cs="宋体"/>
          <w:lang w:val="zh-TW" w:eastAsia="zh-TW"/>
        </w:rPr>
        <w:t>检测样本量：抗凝全血3微升或稀释血5微升</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6、</w:t>
      </w:r>
      <w:r>
        <w:rPr>
          <w:rFonts w:hint="eastAsia" w:ascii="宋体" w:hAnsi="宋体" w:cs="宋体"/>
          <w:lang w:val="zh-TW" w:eastAsia="zh-TW"/>
        </w:rPr>
        <w:t>样本类型：全血或稀释血</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7、</w:t>
      </w:r>
      <w:r>
        <w:rPr>
          <w:rFonts w:hint="eastAsia" w:ascii="宋体" w:hAnsi="宋体" w:cs="宋体"/>
          <w:lang w:val="zh-TW" w:eastAsia="zh-TW"/>
        </w:rPr>
        <w:t>检测速度：≥60样本/小时，速度最快可达45秒/测试</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8、</w:t>
      </w:r>
      <w:r>
        <w:rPr>
          <w:rFonts w:hint="eastAsia" w:ascii="宋体" w:hAnsi="宋体" w:cs="宋体"/>
          <w:lang w:val="zh-TW" w:eastAsia="zh-TW"/>
        </w:rPr>
        <w:t>准确性：相对偏差应在±3.0%区间内</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9、</w:t>
      </w:r>
      <w:r>
        <w:rPr>
          <w:rFonts w:hint="eastAsia" w:ascii="宋体" w:hAnsi="宋体" w:cs="宋体"/>
          <w:lang w:val="zh-TW" w:eastAsia="zh-TW"/>
        </w:rPr>
        <w:t>重复性</w:t>
      </w:r>
      <w:r>
        <w:rPr>
          <w:rFonts w:hint="eastAsia" w:ascii="宋体" w:hAnsi="宋体" w:cs="宋体"/>
          <w:lang w:val="zh-TW"/>
        </w:rPr>
        <w:t>：</w:t>
      </w:r>
      <w:r>
        <w:rPr>
          <w:rFonts w:hint="eastAsia" w:ascii="宋体" w:hAnsi="宋体" w:cs="宋体"/>
          <w:lang w:val="zh-TW" w:eastAsia="zh-TW"/>
        </w:rPr>
        <w:t>CV≤1%</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10、</w:t>
      </w:r>
      <w:r>
        <w:rPr>
          <w:rFonts w:hint="eastAsia" w:ascii="宋体" w:hAnsi="宋体" w:cs="宋体"/>
          <w:lang w:val="zh-TW" w:eastAsia="zh-TW"/>
        </w:rPr>
        <w:t>样本携带污染率：≤2.0%</w:t>
      </w:r>
      <w:r>
        <w:rPr>
          <w:rFonts w:hint="eastAsia" w:ascii="宋体" w:hAnsi="宋体" w:cs="宋体"/>
          <w:lang w:val="zh-TW"/>
        </w:rPr>
        <w:t>。</w:t>
      </w:r>
    </w:p>
    <w:p>
      <w:pPr>
        <w:spacing w:line="360" w:lineRule="auto"/>
        <w:ind w:firstLine="210" w:firstLineChars="100"/>
        <w:rPr>
          <w:rFonts w:ascii="宋体" w:hAnsi="宋体" w:cs="宋体"/>
          <w:lang w:val="zh-TW"/>
        </w:rPr>
      </w:pPr>
      <w:r>
        <w:rPr>
          <w:rFonts w:hint="eastAsia" w:ascii="宋体" w:hAnsi="宋体" w:cs="宋体"/>
          <w:lang w:val="zh-TW" w:eastAsia="zh-TW"/>
        </w:rPr>
        <w:t>★</w:t>
      </w:r>
      <w:r>
        <w:rPr>
          <w:rFonts w:hint="eastAsia" w:ascii="宋体" w:hAnsi="宋体" w:cs="宋体"/>
        </w:rPr>
        <w:t>11、</w:t>
      </w:r>
      <w:r>
        <w:rPr>
          <w:rFonts w:hint="eastAsia" w:ascii="宋体" w:hAnsi="宋体" w:cs="宋体"/>
          <w:lang w:val="zh-TW" w:eastAsia="zh-TW"/>
        </w:rPr>
        <w:t>层析柱：可供测试次数≥6000次，≥500次更换过滤片，需有单独前置过滤片过滤杂质，更好的保护层析柱</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12、</w:t>
      </w:r>
      <w:r>
        <w:rPr>
          <w:rFonts w:hint="eastAsia" w:ascii="宋体" w:hAnsi="宋体" w:cs="宋体"/>
          <w:lang w:val="zh-TW" w:eastAsia="zh-TW"/>
        </w:rPr>
        <w:t>全自动分析仪：自动原始管进样，仪器自动识别样本并进行轨道推进进样，进样后自动进行样本处理、分离检测和结果报告</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13、</w:t>
      </w:r>
      <w:r>
        <w:rPr>
          <w:rFonts w:hint="eastAsia" w:ascii="宋体" w:hAnsi="宋体" w:cs="宋体"/>
          <w:lang w:val="zh-TW" w:eastAsia="zh-TW"/>
        </w:rPr>
        <w:t>样本容量：循环方式最大100样本</w:t>
      </w:r>
      <w:r>
        <w:rPr>
          <w:rFonts w:hint="eastAsia" w:ascii="宋体" w:hAnsi="宋体" w:cs="宋体"/>
          <w:lang w:val="zh-TW"/>
        </w:rPr>
        <w:t>。</w:t>
      </w:r>
    </w:p>
    <w:p>
      <w:pPr>
        <w:spacing w:line="360" w:lineRule="auto"/>
        <w:ind w:firstLine="420" w:firstLineChars="200"/>
        <w:rPr>
          <w:rFonts w:ascii="宋体" w:hAnsi="宋体" w:cs="宋体"/>
          <w:lang w:val="zh-TW"/>
        </w:rPr>
      </w:pPr>
      <w:r>
        <w:rPr>
          <w:rFonts w:hint="eastAsia" w:ascii="宋体" w:hAnsi="宋体" w:cs="宋体"/>
        </w:rPr>
        <w:t>14、</w:t>
      </w:r>
      <w:r>
        <w:rPr>
          <w:rFonts w:hint="eastAsia" w:ascii="宋体" w:hAnsi="宋体" w:cs="宋体"/>
          <w:lang w:val="zh-TW" w:eastAsia="zh-TW"/>
        </w:rPr>
        <w:t>急诊能力：带有急诊槽，可临时插入急需处理的样本</w:t>
      </w:r>
      <w:r>
        <w:rPr>
          <w:rFonts w:hint="eastAsia" w:ascii="宋体" w:hAnsi="宋体" w:cs="宋体"/>
          <w:lang w:val="zh-TW"/>
        </w:rPr>
        <w:t>。</w:t>
      </w:r>
    </w:p>
    <w:p>
      <w:pPr>
        <w:spacing w:line="360" w:lineRule="auto"/>
        <w:ind w:firstLine="420" w:firstLineChars="200"/>
        <w:rPr>
          <w:rFonts w:ascii="宋体" w:hAnsi="宋体" w:cs="宋体"/>
          <w:lang w:val="zh-TW" w:eastAsia="zh-TW"/>
        </w:rPr>
      </w:pPr>
      <w:r>
        <w:rPr>
          <w:rFonts w:hint="eastAsia" w:ascii="宋体" w:hAnsi="宋体" w:cs="宋体"/>
        </w:rPr>
        <w:t>15、</w:t>
      </w:r>
      <w:r>
        <w:rPr>
          <w:rFonts w:hint="eastAsia" w:ascii="宋体" w:hAnsi="宋体" w:cs="宋体"/>
          <w:lang w:val="zh-TW" w:eastAsia="zh-TW"/>
        </w:rPr>
        <w:t>样本处理：可原始样品管上机，原始样品管和稀释的样品管仪器可自动识别</w:t>
      </w:r>
      <w:r>
        <w:rPr>
          <w:rFonts w:hint="eastAsia" w:ascii="宋体" w:hAnsi="宋体" w:cs="宋体"/>
          <w:lang w:val="zh-TW"/>
        </w:rPr>
        <w:t>；</w:t>
      </w:r>
      <w:r>
        <w:rPr>
          <w:rFonts w:hint="eastAsia" w:ascii="宋体" w:hAnsi="宋体" w:cs="宋体"/>
          <w:lang w:val="zh-TW" w:eastAsia="zh-TW"/>
        </w:rPr>
        <w:t>仪器自动稀释</w:t>
      </w:r>
      <w:r>
        <w:rPr>
          <w:rFonts w:hint="eastAsia" w:ascii="宋体" w:hAnsi="宋体" w:cs="宋体"/>
          <w:lang w:val="zh-TW"/>
        </w:rPr>
        <w:t>；</w:t>
      </w:r>
      <w:r>
        <w:rPr>
          <w:rFonts w:hint="eastAsia" w:ascii="宋体" w:hAnsi="宋体" w:cs="宋体"/>
          <w:lang w:val="zh-TW" w:eastAsia="zh-TW"/>
        </w:rPr>
        <w:t>样品管帽穿刺。</w:t>
      </w:r>
    </w:p>
    <w:p>
      <w:pPr>
        <w:spacing w:line="360" w:lineRule="auto"/>
        <w:ind w:firstLine="210" w:firstLineChars="100"/>
        <w:rPr>
          <w:rFonts w:ascii="宋体" w:hAnsi="宋体" w:cs="宋体"/>
          <w:lang w:val="zh-TW" w:eastAsia="zh-TW"/>
        </w:rPr>
      </w:pPr>
      <w:r>
        <w:rPr>
          <w:rFonts w:hint="eastAsia" w:ascii="宋体" w:hAnsi="宋体" w:cs="宋体"/>
          <w:lang w:val="zh-TW" w:eastAsia="zh-TW"/>
        </w:rPr>
        <w:t>★</w:t>
      </w:r>
      <w:r>
        <w:rPr>
          <w:rFonts w:hint="eastAsia" w:ascii="宋体" w:hAnsi="宋体" w:cs="宋体"/>
        </w:rPr>
        <w:t>16、</w:t>
      </w:r>
      <w:r>
        <w:rPr>
          <w:rFonts w:hint="eastAsia" w:ascii="宋体" w:hAnsi="宋体" w:cs="宋体"/>
          <w:lang w:val="zh-TW" w:eastAsia="zh-TW"/>
        </w:rPr>
        <w:t>操作系统：自带</w:t>
      </w:r>
      <w:r>
        <w:rPr>
          <w:rFonts w:hint="eastAsia" w:ascii="宋体" w:hAnsi="宋体" w:cs="宋体"/>
        </w:rPr>
        <w:t>≥</w:t>
      </w:r>
      <w:r>
        <w:rPr>
          <w:rFonts w:hint="eastAsia" w:ascii="宋体" w:hAnsi="宋体" w:cs="宋体"/>
          <w:lang w:val="zh-TW" w:eastAsia="zh-TW"/>
        </w:rPr>
        <w:t>12.1寸带触摸面板的彩色显示屏，能够显示试剂剩余量、层析柱剩余量、加热模块温度、管路压力和色谱图。</w:t>
      </w:r>
    </w:p>
    <w:p>
      <w:pPr>
        <w:spacing w:line="360" w:lineRule="auto"/>
        <w:ind w:firstLine="420" w:firstLineChars="200"/>
        <w:rPr>
          <w:rFonts w:ascii="宋体" w:hAnsi="宋体" w:cs="宋体"/>
          <w:lang w:val="zh-TW" w:eastAsia="zh-TW"/>
        </w:rPr>
      </w:pPr>
      <w:r>
        <w:rPr>
          <w:rFonts w:hint="eastAsia" w:ascii="宋体" w:hAnsi="宋体" w:cs="宋体"/>
          <w:lang w:val="zh-TW" w:eastAsia="zh-TW"/>
        </w:rPr>
        <w:t>17、混匀方式：自动旋转混匀功能。</w:t>
      </w:r>
    </w:p>
    <w:p>
      <w:pPr>
        <w:spacing w:line="360" w:lineRule="auto"/>
        <w:ind w:firstLine="420" w:firstLineChars="200"/>
        <w:rPr>
          <w:rFonts w:ascii="宋体" w:hAnsi="宋体" w:cs="宋体"/>
          <w:lang w:val="zh-TW" w:eastAsia="zh-TW"/>
        </w:rPr>
      </w:pPr>
      <w:r>
        <w:rPr>
          <w:rFonts w:hint="eastAsia" w:ascii="宋体" w:hAnsi="宋体" w:cs="宋体"/>
          <w:lang w:val="zh-TW" w:eastAsia="zh-TW"/>
        </w:rPr>
        <w:t>18、自动报错功能：机器有自动报警和错误提示功能；仪器带自我诊断功能。</w:t>
      </w:r>
    </w:p>
    <w:p>
      <w:pPr>
        <w:spacing w:line="360" w:lineRule="auto"/>
        <w:ind w:firstLine="420" w:firstLineChars="200"/>
        <w:rPr>
          <w:rFonts w:ascii="宋体" w:hAnsi="宋体" w:cs="宋体"/>
          <w:lang w:val="zh-TW" w:eastAsia="zh-TW"/>
        </w:rPr>
      </w:pPr>
      <w:r>
        <w:rPr>
          <w:rFonts w:hint="eastAsia" w:ascii="宋体" w:hAnsi="宋体" w:cs="宋体"/>
          <w:lang w:val="zh-TW" w:eastAsia="zh-TW"/>
        </w:rPr>
        <w:t>19、报告单位：仪器能同时报告IFCC结果、NGSP结果和eAG结果。NGSP和IFCC认证：除具有NGSP和IFCC双认证外，在国内具有NGSP一级参考实验室认证。</w:t>
      </w:r>
    </w:p>
    <w:p>
      <w:pPr>
        <w:spacing w:line="360" w:lineRule="auto"/>
        <w:ind w:firstLine="420" w:firstLineChars="200"/>
        <w:rPr>
          <w:rFonts w:ascii="宋体" w:hAnsi="宋体" w:cs="宋体"/>
          <w:lang w:val="zh-TW" w:eastAsia="zh-TW"/>
        </w:rPr>
      </w:pPr>
      <w:r>
        <w:rPr>
          <w:rFonts w:hint="eastAsia" w:ascii="宋体" w:hAnsi="宋体" w:cs="宋体"/>
          <w:lang w:val="zh-TW" w:eastAsia="zh-TW"/>
        </w:rPr>
        <w:t>20、配套试剂有效期：试剂有效期不小于24个月。</w:t>
      </w:r>
    </w:p>
    <w:p>
      <w:pPr>
        <w:spacing w:line="360" w:lineRule="auto"/>
        <w:ind w:firstLine="210" w:firstLineChars="100"/>
        <w:rPr>
          <w:rFonts w:ascii="宋体" w:hAnsi="宋体" w:cs="宋体"/>
          <w:lang w:val="zh-TW" w:eastAsia="zh-TW"/>
        </w:rPr>
      </w:pPr>
      <w:r>
        <w:rPr>
          <w:rFonts w:hint="eastAsia" w:ascii="宋体" w:hAnsi="宋体" w:cs="宋体"/>
          <w:lang w:val="zh-TW" w:eastAsia="zh-TW"/>
        </w:rPr>
        <w:t>★</w:t>
      </w:r>
      <w:r>
        <w:rPr>
          <w:rFonts w:hint="eastAsia" w:ascii="宋体" w:hAnsi="宋体" w:cs="宋体"/>
          <w:lang w:eastAsia="zh-TW"/>
        </w:rPr>
        <w:t>21、</w:t>
      </w:r>
      <w:r>
        <w:rPr>
          <w:rFonts w:hint="eastAsia" w:ascii="宋体" w:hAnsi="宋体" w:cs="宋体"/>
          <w:lang w:val="zh-TW" w:eastAsia="zh-TW"/>
        </w:rPr>
        <w:t>变异体识别及提醒功能：仪器除分离HbA1c、HbF、LA1c外，可分离HbS、HbC、HbD、HbE、HQ-Tailand、HbG-Coushatta、HbG-Taipei等变异体。</w:t>
      </w:r>
    </w:p>
    <w:p>
      <w:pPr>
        <w:numPr>
          <w:ilvl w:val="0"/>
          <w:numId w:val="1"/>
        </w:numPr>
        <w:spacing w:line="360" w:lineRule="auto"/>
        <w:ind w:left="420" w:leftChars="200"/>
        <w:rPr>
          <w:rFonts w:ascii="宋体" w:hAnsi="宋体" w:cs="宋体"/>
          <w:b/>
          <w:bCs/>
          <w:szCs w:val="21"/>
        </w:rPr>
      </w:pPr>
      <w:r>
        <w:rPr>
          <w:rFonts w:hint="eastAsia" w:ascii="宋体" w:hAnsi="宋体" w:cs="宋体"/>
          <w:lang w:val="zh-TW" w:eastAsia="zh-TW"/>
        </w:rPr>
        <w:t>检测模式：同一套试剂，具有超短模式、短模式和长模式三种模式</w:t>
      </w:r>
      <w:r>
        <w:rPr>
          <w:rFonts w:hint="eastAsia" w:ascii="宋体" w:hAnsi="宋体" w:cs="宋体"/>
          <w:lang w:val="zh-TW"/>
        </w:rPr>
        <w:t>。</w:t>
      </w:r>
      <w:r>
        <w:rPr>
          <w:rFonts w:hint="eastAsia" w:ascii="宋体" w:hAnsi="宋体" w:cs="宋体"/>
          <w:b/>
          <w:bCs/>
          <w:szCs w:val="21"/>
        </w:rPr>
        <w:br w:type="textWrapping"/>
      </w:r>
      <w:r>
        <w:rPr>
          <w:rFonts w:hint="eastAsia" w:ascii="宋体" w:hAnsi="宋体" w:cs="宋体"/>
          <w:b/>
          <w:bCs/>
          <w:szCs w:val="21"/>
        </w:rPr>
        <w:t>三、质量要求</w:t>
      </w:r>
    </w:p>
    <w:p>
      <w:pPr>
        <w:spacing w:line="360" w:lineRule="auto"/>
        <w:ind w:firstLine="420" w:firstLineChars="200"/>
        <w:jc w:val="left"/>
        <w:rPr>
          <w:rFonts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招标人招标文件和中标人投标文件所要求的技术标准。杜绝证照不全、假冒、伪劣、过期、失效、淘汰或不合格的产品进入医院，否则，中标人承担由此造成的一切后果。</w:t>
      </w:r>
    </w:p>
    <w:p>
      <w:pPr>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、中标人提供的配套检测试剂，每个批次须提供该批次同批号产品检验报告。</w:t>
      </w:r>
    </w:p>
    <w:p>
      <w:pPr>
        <w:spacing w:line="360" w:lineRule="auto"/>
        <w:ind w:firstLine="420" w:firstLineChars="200"/>
        <w:jc w:val="left"/>
        <w:rPr>
          <w:rFonts w:ascii="宋体" w:hAnsi="宋体" w:cs="宋体"/>
          <w:szCs w:val="21"/>
        </w:rPr>
      </w:pPr>
      <w:r>
        <w:rPr>
          <w:rFonts w:hint="eastAsia" w:ascii="宋体" w:hAnsi="宋体" w:cs="宋体"/>
          <w:szCs w:val="21"/>
        </w:rPr>
        <w:t>3、保证投标产品的质量，配套检测试剂必须留有至少80%的有效期。</w:t>
      </w:r>
    </w:p>
    <w:p>
      <w:pPr>
        <w:spacing w:line="360" w:lineRule="auto"/>
        <w:ind w:firstLine="420" w:firstLineChars="200"/>
        <w:jc w:val="left"/>
        <w:rPr>
          <w:rFonts w:ascii="宋体" w:hAnsi="宋体" w:cs="宋体"/>
          <w:szCs w:val="21"/>
        </w:rPr>
      </w:pPr>
      <w:r>
        <w:rPr>
          <w:rFonts w:hint="eastAsia" w:ascii="宋体" w:hAnsi="宋体" w:cs="宋体"/>
          <w:szCs w:val="21"/>
        </w:rPr>
        <w:t>4、保证是原产地生产的原装产品，否则视为假冒伪劣</w:t>
      </w:r>
      <w:r>
        <w:rPr>
          <w:rFonts w:ascii="宋体" w:hAnsi="宋体" w:cs="宋体"/>
          <w:szCs w:val="21"/>
        </w:rPr>
        <w:t>产品。</w:t>
      </w:r>
      <w:r>
        <w:rPr>
          <w:rFonts w:hint="eastAsia" w:ascii="宋体" w:hAnsi="宋体" w:cs="宋体"/>
          <w:b/>
          <w:bCs/>
          <w:szCs w:val="21"/>
        </w:rPr>
        <w:br w:type="textWrapping"/>
      </w:r>
      <w:r>
        <w:rPr>
          <w:rFonts w:hint="eastAsia" w:ascii="宋体" w:hAnsi="宋体" w:cs="宋体"/>
          <w:b/>
          <w:bCs/>
          <w:szCs w:val="21"/>
        </w:rPr>
        <w:t xml:space="preserve">    四、供货及售后服务要求</w:t>
      </w:r>
    </w:p>
    <w:p>
      <w:pPr>
        <w:spacing w:line="360" w:lineRule="auto"/>
        <w:ind w:firstLine="420" w:firstLineChars="200"/>
        <w:jc w:val="left"/>
        <w:rPr>
          <w:rFonts w:ascii="宋体" w:hAnsi="宋体" w:cs="宋体"/>
          <w:szCs w:val="21"/>
        </w:rPr>
      </w:pPr>
      <w:r>
        <w:rPr>
          <w:rFonts w:hint="eastAsia" w:ascii="宋体" w:hAnsi="宋体" w:cs="宋体"/>
          <w:szCs w:val="21"/>
        </w:rPr>
        <w:t>1、投标人接到招标人供货通知，根据招标人通知的规格型号和数量按计划送货，按照招标人要求送至指定地点，负责运输。</w:t>
      </w:r>
    </w:p>
    <w:p>
      <w:pPr>
        <w:spacing w:line="360" w:lineRule="auto"/>
        <w:ind w:firstLine="420" w:firstLineChars="200"/>
        <w:jc w:val="left"/>
        <w:rPr>
          <w:rFonts w:ascii="宋体" w:hAnsi="宋体" w:cs="宋体"/>
          <w:szCs w:val="21"/>
        </w:rPr>
      </w:pPr>
      <w:r>
        <w:rPr>
          <w:rFonts w:hint="eastAsia" w:ascii="宋体" w:hAnsi="宋体" w:cs="宋体"/>
          <w:szCs w:val="21"/>
        </w:rPr>
        <w:t>2、中标人根据招标人采购计划进行供货，不允许超计划供货，超出计划的数量，招标人不予验收入库，由中标人无条件带回。</w:t>
      </w:r>
    </w:p>
    <w:p>
      <w:pPr>
        <w:spacing w:line="360" w:lineRule="auto"/>
        <w:ind w:firstLine="420" w:firstLineChars="200"/>
        <w:jc w:val="left"/>
        <w:rPr>
          <w:rFonts w:ascii="宋体" w:hAnsi="宋体" w:cs="宋体"/>
          <w:szCs w:val="21"/>
        </w:rPr>
      </w:pPr>
      <w:r>
        <w:rPr>
          <w:rFonts w:hint="eastAsia" w:ascii="宋体" w:hAnsi="宋体" w:cs="宋体"/>
          <w:szCs w:val="21"/>
        </w:rPr>
        <w:t>3、中标人所投的品牌货物在供货或使用过程中出现质量和使用问题，招标人有权要求更换，直至招标人满意，且不再另行支付任何费用。</w:t>
      </w:r>
    </w:p>
    <w:p>
      <w:pPr>
        <w:spacing w:line="360" w:lineRule="auto"/>
        <w:ind w:firstLine="420" w:firstLineChars="200"/>
        <w:jc w:val="left"/>
        <w:rPr>
          <w:rFonts w:ascii="宋体" w:hAnsi="宋体" w:cs="宋体"/>
          <w:szCs w:val="21"/>
        </w:rPr>
      </w:pPr>
      <w:r>
        <w:rPr>
          <w:rFonts w:hint="eastAsia" w:ascii="宋体" w:hAnsi="宋体" w:cs="宋体"/>
          <w:szCs w:val="21"/>
        </w:rPr>
        <w:t>4、按招标人实际需求进行供货，中标人须无条件满足招标人需求，确保供货质量并及时供货。</w:t>
      </w:r>
    </w:p>
    <w:p>
      <w:pPr>
        <w:spacing w:line="360" w:lineRule="auto"/>
        <w:ind w:firstLine="420" w:firstLineChars="200"/>
        <w:rPr>
          <w:rFonts w:ascii="宋体" w:hAnsi="宋体" w:cs="宋体"/>
          <w:szCs w:val="21"/>
        </w:rPr>
      </w:pPr>
      <w:r>
        <w:rPr>
          <w:rFonts w:hint="eastAsia" w:ascii="宋体" w:hAnsi="宋体" w:cs="宋体"/>
          <w:szCs w:val="21"/>
        </w:rPr>
        <w:t>5、依据商品的保修条款及售后服务条款，提供原厂质保，质保期按照国家规定，且不低于所供品牌向用户承诺的质保期限。招标文件另有约定的从其约定。质保期从货物验收合格后算起。</w:t>
      </w:r>
    </w:p>
    <w:p>
      <w:pPr>
        <w:spacing w:line="360" w:lineRule="auto"/>
        <w:ind w:firstLine="420" w:firstLineChars="200"/>
        <w:rPr>
          <w:rFonts w:ascii="宋体" w:hAnsi="宋体" w:cs="宋体"/>
          <w:szCs w:val="21"/>
        </w:rPr>
      </w:pPr>
      <w:r>
        <w:rPr>
          <w:rFonts w:hint="eastAsia" w:ascii="宋体" w:hAnsi="宋体" w:cs="宋体"/>
          <w:szCs w:val="21"/>
        </w:rPr>
        <w:t>6、质保期内设备故障要求1小时内应答，2小时形成解决方案。逾期招标人可自行组织维修，费用由中标人承担。</w:t>
      </w:r>
    </w:p>
    <w:p>
      <w:pPr>
        <w:spacing w:line="360" w:lineRule="auto"/>
        <w:ind w:firstLine="422" w:firstLineChars="200"/>
        <w:rPr>
          <w:rFonts w:ascii="宋体" w:hAnsi="宋体" w:cs="宋体"/>
          <w:b/>
          <w:bCs/>
          <w:szCs w:val="21"/>
        </w:rPr>
      </w:pPr>
      <w:r>
        <w:rPr>
          <w:rFonts w:hint="eastAsia" w:ascii="宋体" w:hAnsi="宋体" w:cs="宋体"/>
          <w:b/>
          <w:bCs/>
          <w:szCs w:val="21"/>
        </w:rPr>
        <w:t>五、人员培训要求</w:t>
      </w:r>
    </w:p>
    <w:p>
      <w:pPr>
        <w:spacing w:line="360" w:lineRule="auto"/>
        <w:ind w:left="420" w:hanging="420" w:hangingChars="200"/>
        <w:rPr>
          <w:rFonts w:ascii="宋体" w:hAnsi="宋体" w:cs="宋体"/>
          <w:b/>
          <w:bCs/>
          <w:szCs w:val="21"/>
        </w:rPr>
      </w:pPr>
      <w:r>
        <w:rPr>
          <w:rFonts w:hint="eastAsia" w:ascii="宋体" w:hAnsi="宋体" w:cs="宋体"/>
          <w:szCs w:val="21"/>
        </w:rPr>
        <w:t xml:space="preserve">    货物安装、调试、验收合格后，中标人应对招标人的相关人员进行免费现场培训。</w:t>
      </w:r>
      <w:r>
        <w:rPr>
          <w:rFonts w:hint="eastAsia" w:ascii="宋体" w:hAnsi="宋体" w:cs="宋体"/>
          <w:b/>
          <w:bCs/>
          <w:szCs w:val="21"/>
        </w:rPr>
        <w:br w:type="textWrapping"/>
      </w:r>
      <w:r>
        <w:rPr>
          <w:rFonts w:hint="eastAsia" w:ascii="宋体" w:hAnsi="宋体" w:cs="宋体"/>
          <w:b/>
          <w:bCs/>
          <w:szCs w:val="21"/>
        </w:rPr>
        <w:t>六、验收</w:t>
      </w:r>
    </w:p>
    <w:p>
      <w:pPr>
        <w:spacing w:line="360" w:lineRule="auto"/>
        <w:ind w:left="420" w:leftChars="200"/>
        <w:rPr>
          <w:rFonts w:ascii="宋体" w:hAnsi="宋体" w:cs="宋体"/>
          <w:b/>
          <w:bCs/>
          <w:szCs w:val="21"/>
        </w:rPr>
      </w:pPr>
      <w:r>
        <w:rPr>
          <w:rFonts w:hint="eastAsia" w:ascii="宋体" w:hAnsi="宋体" w:cs="宋体"/>
          <w:szCs w:val="21"/>
        </w:rPr>
        <w:t>中标人和招标人双方共同实施验收工作，结果和验收报告经双方确认后生效。</w:t>
      </w:r>
      <w:r>
        <w:rPr>
          <w:rFonts w:hint="eastAsia" w:ascii="宋体" w:hAnsi="宋体" w:cs="宋体"/>
          <w:szCs w:val="21"/>
        </w:rPr>
        <w:br w:type="textWrapping"/>
      </w:r>
      <w:r>
        <w:rPr>
          <w:rFonts w:hint="eastAsia" w:ascii="宋体" w:hAnsi="宋体" w:cs="宋体"/>
          <w:b/>
          <w:bCs/>
          <w:szCs w:val="21"/>
        </w:rPr>
        <w:t>七、付款方式</w:t>
      </w:r>
    </w:p>
    <w:p>
      <w:pPr>
        <w:spacing w:line="360" w:lineRule="auto"/>
        <w:ind w:firstLine="420" w:firstLineChars="200"/>
      </w:pPr>
      <w:r>
        <w:rPr>
          <w:rFonts w:hint="eastAsia" w:ascii="宋体" w:hAnsi="宋体" w:cs="宋体"/>
          <w:szCs w:val="21"/>
        </w:rPr>
        <w:t>本项目一次性规划，分步实施，按实结算，货到验收合格、收到正规发票后6个月内付款。</w:t>
      </w:r>
    </w:p>
    <w:p>
      <w:pPr>
        <w:pStyle w:val="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B6496"/>
    <w:multiLevelType w:val="singleLevel"/>
    <w:tmpl w:val="460B6496"/>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3FC03F2"/>
    <w:rsid w:val="03FC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table of figures"/>
    <w:basedOn w:val="1"/>
    <w:next w:val="1"/>
    <w:semiHidden/>
    <w:unhideWhenUsed/>
    <w:qFormat/>
    <w:uiPriority w:val="99"/>
    <w:pPr>
      <w:ind w:left="200" w:leftChars="200" w:hanging="200" w:hangingChars="200"/>
    </w:p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2023-07-11T03:40:00Z</dcterms:created>
  <dc:creator>兔子爱上了窝边草</dc:creator>
  <cp:lastModifiedBy>兔子爱上了窝边草</cp:lastModifiedBy>
  <dcterms:modified xsi:type="dcterms:W3CDTF">2023-07-11T03:40:58Z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7734BAA839B345D3962E323DFF15FAEA_11</vt:lpwstr>
  </property>
</Properties>
</file>