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color w:val="000000"/>
          <w:highlight w:val="none"/>
        </w:rPr>
      </w:pPr>
      <w:bookmarkStart w:id="26" w:name="_GoBack"/>
      <w:bookmarkStart w:id="0" w:name="_Toc490233120"/>
      <w:bookmarkStart w:id="1" w:name="_Toc12616"/>
      <w:r>
        <w:rPr>
          <w:rFonts w:hint="eastAsia"/>
          <w:color w:val="000000"/>
          <w:highlight w:val="none"/>
        </w:rPr>
        <w:t>货物需求及技术要求</w:t>
      </w:r>
      <w:bookmarkEnd w:id="0"/>
      <w:bookmarkEnd w:id="1"/>
    </w:p>
    <w:bookmarkEnd w:id="26"/>
    <w:p>
      <w:pPr>
        <w:widowControl/>
        <w:spacing w:line="440" w:lineRule="exact"/>
        <w:ind w:firstLine="422" w:firstLineChars="200"/>
        <w:rPr>
          <w:rFonts w:ascii="宋体" w:hAnsi="宋体" w:cs="宋体"/>
          <w:b/>
          <w:szCs w:val="21"/>
          <w:highlight w:val="none"/>
        </w:rPr>
      </w:pPr>
      <w:bookmarkStart w:id="2" w:name="_Toc12315"/>
      <w:bookmarkStart w:id="3" w:name="_Toc7241"/>
      <w:bookmarkStart w:id="4" w:name="_Toc24523"/>
      <w:r>
        <w:rPr>
          <w:rFonts w:hint="eastAsia" w:ascii="宋体" w:hAnsi="宋体" w:cs="宋体"/>
          <w:b/>
          <w:szCs w:val="21"/>
          <w:highlight w:val="none"/>
        </w:rPr>
        <w:t>一、采购</w:t>
      </w:r>
      <w:bookmarkStart w:id="5" w:name="_Toc41723936"/>
      <w:bookmarkStart w:id="6" w:name="_Toc98579011"/>
      <w:bookmarkStart w:id="7" w:name="_Toc101951263"/>
      <w:bookmarkStart w:id="8" w:name="_Toc42313172"/>
      <w:bookmarkStart w:id="9" w:name="_Toc46308687"/>
      <w:bookmarkStart w:id="10" w:name="_Toc98579069"/>
      <w:bookmarkStart w:id="11" w:name="_Toc98580293"/>
      <w:bookmarkStart w:id="12" w:name="_Toc175644394"/>
      <w:bookmarkStart w:id="13" w:name="_Toc41884706"/>
      <w:bookmarkStart w:id="14" w:name="_Toc42394517"/>
      <w:bookmarkStart w:id="15" w:name="_Toc42394673"/>
      <w:bookmarkStart w:id="16" w:name="_Toc101843125"/>
      <w:bookmarkStart w:id="17" w:name="_Toc98579610"/>
      <w:bookmarkStart w:id="18" w:name="_Toc272497418"/>
      <w:bookmarkStart w:id="19" w:name="_Toc273520768"/>
      <w:bookmarkStart w:id="20" w:name="_Toc101771372"/>
      <w:bookmarkStart w:id="21" w:name="_Toc101775125"/>
      <w:bookmarkStart w:id="22" w:name="_Toc50276204"/>
      <w:bookmarkStart w:id="23" w:name="_Toc50276165"/>
      <w:bookmarkStart w:id="24" w:name="_Toc98035089"/>
      <w:bookmarkStart w:id="25" w:name="_Toc46308531"/>
      <w:r>
        <w:rPr>
          <w:rFonts w:hint="eastAsia" w:ascii="宋体" w:hAnsi="宋体" w:cs="宋体"/>
          <w:b/>
          <w:szCs w:val="21"/>
          <w:highlight w:val="none"/>
        </w:rPr>
        <w:t>内容</w:t>
      </w:r>
    </w:p>
    <w:tbl>
      <w:tblPr>
        <w:tblStyle w:val="8"/>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361"/>
        <w:gridCol w:w="3974"/>
        <w:gridCol w:w="1236"/>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78"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789"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2303"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技术参数</w:t>
            </w:r>
          </w:p>
        </w:tc>
        <w:tc>
          <w:tcPr>
            <w:tcW w:w="716" w:type="pct"/>
            <w:vAlign w:val="center"/>
          </w:tcPr>
          <w:p>
            <w:pPr>
              <w:jc w:val="center"/>
              <w:rPr>
                <w:rFonts w:ascii="宋体" w:hAnsi="宋体" w:cs="宋体"/>
                <w:color w:val="000000"/>
                <w:szCs w:val="21"/>
                <w:highlight w:val="none"/>
              </w:rPr>
            </w:pPr>
            <w:r>
              <w:rPr>
                <w:rFonts w:hint="eastAsia" w:ascii="宋体" w:hAnsi="宋体" w:cs="宋体"/>
                <w:snapToGrid w:val="0"/>
                <w:szCs w:val="21"/>
                <w:highlight w:val="none"/>
              </w:rPr>
              <w:t>预计两年使用量（盒）</w:t>
            </w:r>
          </w:p>
        </w:tc>
        <w:tc>
          <w:tcPr>
            <w:tcW w:w="812"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单价最高限价</w:t>
            </w:r>
          </w:p>
          <w:p>
            <w:pPr>
              <w:jc w:val="center"/>
              <w:rPr>
                <w:rFonts w:ascii="宋体" w:hAnsi="宋体" w:cs="宋体"/>
                <w:color w:val="000000"/>
                <w:szCs w:val="21"/>
                <w:highlight w:val="none"/>
              </w:rPr>
            </w:pPr>
            <w:r>
              <w:rPr>
                <w:rFonts w:hint="eastAsia" w:ascii="宋体" w:hAnsi="宋体" w:cs="宋体"/>
                <w:color w:val="000000"/>
                <w:szCs w:val="21"/>
                <w:highlight w:val="none"/>
              </w:rPr>
              <w:t>（元/盒）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vAlign w:val="center"/>
          </w:tcPr>
          <w:p>
            <w:pPr>
              <w:spacing w:line="280" w:lineRule="exact"/>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789" w:type="pct"/>
            <w:vAlign w:val="center"/>
          </w:tcPr>
          <w:p>
            <w:pPr>
              <w:pStyle w:val="6"/>
              <w:widowControl/>
              <w:spacing w:line="44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lang w:bidi="ar"/>
              </w:rPr>
              <w:t>沙眼衣原体抗原检测试剂盒</w:t>
            </w:r>
          </w:p>
        </w:tc>
        <w:tc>
          <w:tcPr>
            <w:tcW w:w="4331" w:type="dxa"/>
            <w:vAlign w:val="center"/>
          </w:tcPr>
          <w:p>
            <w:pPr>
              <w:pStyle w:val="6"/>
              <w:widowControl/>
              <w:spacing w:line="440" w:lineRule="exact"/>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乳胶免疫层析法，20人份/盒</w:t>
            </w:r>
          </w:p>
        </w:tc>
        <w:tc>
          <w:tcPr>
            <w:tcW w:w="716" w:type="pct"/>
            <w:vAlign w:val="center"/>
          </w:tcPr>
          <w:p>
            <w:pPr>
              <w:pStyle w:val="6"/>
              <w:widowControl/>
              <w:spacing w:line="28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100</w:t>
            </w:r>
          </w:p>
        </w:tc>
        <w:tc>
          <w:tcPr>
            <w:tcW w:w="812" w:type="pct"/>
            <w:vAlign w:val="center"/>
          </w:tcPr>
          <w:p>
            <w:pPr>
              <w:pStyle w:val="6"/>
              <w:widowControl/>
              <w:spacing w:line="28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vAlign w:val="center"/>
          </w:tcPr>
          <w:p>
            <w:pPr>
              <w:spacing w:line="280" w:lineRule="exact"/>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789" w:type="pct"/>
            <w:vAlign w:val="center"/>
          </w:tcPr>
          <w:p>
            <w:pPr>
              <w:pStyle w:val="6"/>
              <w:widowControl/>
              <w:spacing w:line="440" w:lineRule="exact"/>
              <w:jc w:val="center"/>
              <w:rPr>
                <w:rFonts w:ascii="宋体" w:hAnsi="宋体" w:cs="宋体"/>
                <w:bCs/>
                <w:color w:val="000000"/>
                <w:szCs w:val="21"/>
                <w:highlight w:val="none"/>
              </w:rPr>
            </w:pPr>
            <w:r>
              <w:rPr>
                <w:rFonts w:hint="eastAsia" w:ascii="宋体" w:hAnsi="宋体" w:cs="宋体"/>
                <w:color w:val="000000"/>
                <w:sz w:val="21"/>
                <w:szCs w:val="21"/>
                <w:highlight w:val="none"/>
                <w:lang w:bidi="ar"/>
              </w:rPr>
              <w:t>支原体鉴定药敏试剂盒</w:t>
            </w:r>
          </w:p>
        </w:tc>
        <w:tc>
          <w:tcPr>
            <w:tcW w:w="4331" w:type="dxa"/>
            <w:vAlign w:val="center"/>
          </w:tcPr>
          <w:p>
            <w:pPr>
              <w:spacing w:line="360" w:lineRule="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1、培养法，28孔（液体型），20人份/盒；内含药敏培养基20支，药敏测定板20条，无菌矿物油2支，无菌吸嘴20支，报告签一本。</w:t>
            </w:r>
          </w:p>
          <w:p>
            <w:pPr>
              <w:spacing w:line="360" w:lineRule="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w:t>
            </w:r>
            <w:r>
              <w:rPr>
                <w:rFonts w:hint="default" w:ascii="宋体" w:hAnsi="宋体" w:eastAsia="宋体" w:cs="宋体"/>
                <w:color w:val="000000"/>
                <w:kern w:val="0"/>
                <w:sz w:val="21"/>
                <w:szCs w:val="21"/>
                <w:highlight w:val="none"/>
                <w:lang w:val="en-US" w:eastAsia="zh-CN" w:bidi="ar"/>
              </w:rPr>
              <w:t>适用于泌尿生殖道系统解</w:t>
            </w:r>
            <w:r>
              <w:rPr>
                <w:rFonts w:hint="eastAsia" w:ascii="宋体" w:hAnsi="宋体" w:eastAsia="宋体" w:cs="宋体"/>
                <w:color w:val="000000"/>
                <w:kern w:val="0"/>
                <w:sz w:val="21"/>
                <w:szCs w:val="21"/>
                <w:highlight w:val="none"/>
                <w:lang w:val="en-US" w:eastAsia="zh-CN" w:bidi="ar"/>
              </w:rPr>
              <w:t>脲</w:t>
            </w:r>
            <w:r>
              <w:rPr>
                <w:rFonts w:hint="default" w:ascii="宋体" w:hAnsi="宋体" w:eastAsia="宋体" w:cs="宋体"/>
                <w:color w:val="000000"/>
                <w:kern w:val="0"/>
                <w:sz w:val="21"/>
                <w:szCs w:val="21"/>
                <w:highlight w:val="none"/>
                <w:lang w:val="en-US" w:eastAsia="zh-CN" w:bidi="ar"/>
              </w:rPr>
              <w:t>支原体~(UU) 人型支原体 (MH) 作培养、鉴定及药物敏感度的测定。</w:t>
            </w:r>
          </w:p>
        </w:tc>
        <w:tc>
          <w:tcPr>
            <w:tcW w:w="716" w:type="pct"/>
            <w:vAlign w:val="center"/>
          </w:tcPr>
          <w:p>
            <w:pPr>
              <w:pStyle w:val="6"/>
              <w:widowControl/>
              <w:spacing w:line="28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100</w:t>
            </w:r>
          </w:p>
        </w:tc>
        <w:tc>
          <w:tcPr>
            <w:tcW w:w="812" w:type="pct"/>
            <w:vAlign w:val="center"/>
          </w:tcPr>
          <w:p>
            <w:pPr>
              <w:pStyle w:val="6"/>
              <w:widowControl/>
              <w:spacing w:line="28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 w:hRule="atLeast"/>
          <w:jc w:val="center"/>
        </w:trPr>
        <w:tc>
          <w:tcPr>
            <w:tcW w:w="5000" w:type="pct"/>
            <w:gridSpan w:val="5"/>
            <w:vAlign w:val="center"/>
          </w:tcPr>
          <w:p>
            <w:pPr>
              <w:spacing w:line="360" w:lineRule="auto"/>
              <w:jc w:val="left"/>
              <w:rPr>
                <w:rFonts w:ascii="宋体" w:hAnsi="宋体" w:cs="宋体"/>
                <w:szCs w:val="21"/>
                <w:highlight w:val="none"/>
              </w:rPr>
            </w:pPr>
            <w:r>
              <w:rPr>
                <w:rFonts w:hint="eastAsia" w:ascii="宋体" w:hAnsi="宋体" w:cs="宋体"/>
                <w:szCs w:val="21"/>
                <w:highlight w:val="none"/>
              </w:rPr>
              <w:t>说明：</w:t>
            </w:r>
          </w:p>
          <w:p>
            <w:pPr>
              <w:spacing w:line="360" w:lineRule="auto"/>
              <w:ind w:left="420" w:leftChars="200"/>
              <w:jc w:val="left"/>
              <w:rPr>
                <w:rFonts w:ascii="宋体" w:hAnsi="宋体" w:cs="宋体"/>
                <w:szCs w:val="21"/>
                <w:highlight w:val="none"/>
              </w:rPr>
            </w:pPr>
            <w:r>
              <w:rPr>
                <w:rFonts w:hint="eastAsia" w:ascii="宋体" w:hAnsi="宋体" w:cs="宋体"/>
                <w:szCs w:val="21"/>
                <w:highlight w:val="none"/>
              </w:rPr>
              <w:t>1.投标人的投标文件必须标明所投货物的品牌与参数，保证原厂正品供货，提供相关资料等。</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2.本项目一次性规划，分步实施；本项目耗材进入招标人SPD管理。服务期内如遇国家、省医保带量采购等相关政策调整，按国家、省医保带量采购等相关政策执行。</w:t>
            </w:r>
          </w:p>
          <w:p>
            <w:pPr>
              <w:spacing w:line="360" w:lineRule="auto"/>
              <w:ind w:left="420" w:leftChars="200"/>
              <w:jc w:val="left"/>
              <w:rPr>
                <w:rFonts w:ascii="宋体" w:hAnsi="宋体" w:cs="宋体"/>
                <w:szCs w:val="21"/>
                <w:highlight w:val="none"/>
              </w:rPr>
            </w:pPr>
            <w:r>
              <w:rPr>
                <w:rFonts w:hint="eastAsia" w:ascii="宋体" w:hAnsi="宋体" w:cs="宋体"/>
                <w:szCs w:val="21"/>
                <w:highlight w:val="none"/>
              </w:rPr>
              <w:t>3.供货期限：合同签订后2年。</w:t>
            </w:r>
          </w:p>
          <w:p>
            <w:pPr>
              <w:spacing w:line="360" w:lineRule="auto"/>
              <w:ind w:left="420" w:leftChars="200"/>
              <w:jc w:val="left"/>
              <w:rPr>
                <w:rFonts w:ascii="宋体" w:hAnsi="宋体" w:cs="宋体"/>
                <w:szCs w:val="21"/>
                <w:highlight w:val="none"/>
              </w:rPr>
            </w:pPr>
            <w:r>
              <w:rPr>
                <w:rFonts w:hint="eastAsia" w:ascii="宋体" w:hAnsi="宋体" w:cs="宋体"/>
                <w:szCs w:val="21"/>
                <w:highlight w:val="none"/>
              </w:rPr>
              <w:t>4.投标人须承诺：</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（1）中标产品如有两票制要求则须执行两票制相关要求；</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（2）中标产品如安徽省医药集中采购中心有相关要求，则须执行安徽省医药集中采购中心相关要求。本项须提供承诺函加盖投标人公章。</w:t>
            </w:r>
          </w:p>
          <w:p>
            <w:pPr>
              <w:spacing w:line="360" w:lineRule="auto"/>
              <w:ind w:left="420" w:leftChars="200"/>
              <w:jc w:val="left"/>
              <w:rPr>
                <w:rFonts w:ascii="宋体" w:hAnsi="宋体" w:cs="宋体"/>
                <w:szCs w:val="21"/>
                <w:highlight w:val="none"/>
              </w:rPr>
            </w:pPr>
            <w:r>
              <w:rPr>
                <w:rFonts w:hint="eastAsia" w:ascii="宋体" w:hAnsi="宋体" w:cs="宋体"/>
                <w:szCs w:val="21"/>
                <w:highlight w:val="none"/>
              </w:rPr>
              <w:t>5.中标人供货价格计算方式如下：单价最高限价×中标费率=供货单价。</w:t>
            </w:r>
          </w:p>
          <w:p>
            <w:pPr>
              <w:spacing w:line="360" w:lineRule="auto"/>
              <w:ind w:left="420" w:leftChars="200"/>
              <w:jc w:val="left"/>
              <w:rPr>
                <w:rFonts w:ascii="宋体" w:hAnsi="宋体" w:cs="宋体"/>
                <w:szCs w:val="21"/>
                <w:highlight w:val="none"/>
              </w:rPr>
            </w:pPr>
            <w:r>
              <w:rPr>
                <w:rFonts w:hint="eastAsia" w:ascii="宋体" w:hAnsi="宋体" w:cs="宋体"/>
                <w:szCs w:val="21"/>
                <w:highlight w:val="none"/>
              </w:rPr>
              <w:t>6.两年预估使用量仅代表医院过去两年使用估量，仅供投标人报价时参考。</w:t>
            </w:r>
          </w:p>
          <w:p>
            <w:pPr>
              <w:spacing w:line="360" w:lineRule="auto"/>
              <w:ind w:left="420" w:leftChars="200"/>
              <w:jc w:val="left"/>
              <w:rPr>
                <w:rFonts w:ascii="宋体" w:hAnsi="宋体" w:cs="宋体"/>
                <w:color w:val="000000"/>
                <w:szCs w:val="21"/>
                <w:highlight w:val="none"/>
              </w:rPr>
            </w:pPr>
            <w:r>
              <w:rPr>
                <w:rFonts w:hint="eastAsia" w:ascii="宋体" w:hAnsi="宋体" w:cs="宋体"/>
                <w:b/>
                <w:bCs/>
                <w:szCs w:val="21"/>
                <w:highlight w:val="none"/>
              </w:rPr>
              <w:t>本次采购最高投标费率：100%</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pPr>
        <w:widowControl/>
        <w:spacing w:line="360" w:lineRule="auto"/>
        <w:ind w:firstLine="422" w:firstLineChars="200"/>
        <w:rPr>
          <w:rFonts w:ascii="宋体" w:hAnsi="宋体" w:cs="宋体"/>
          <w:b/>
          <w:szCs w:val="21"/>
          <w:highlight w:val="none"/>
        </w:rPr>
      </w:pPr>
      <w:r>
        <w:rPr>
          <w:rFonts w:hint="eastAsia" w:ascii="宋体" w:hAnsi="宋体" w:cs="宋体"/>
          <w:b/>
          <w:szCs w:val="21"/>
          <w:highlight w:val="none"/>
        </w:rPr>
        <w:t>三、质量要求</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投标人提供的货物必须是全新、标识清楚、符合国家规定的质量标准或行业现行标准的要求。没有国家标准和行业标准的，应达到经主管部门批准的企业现行标准要求，符合招标人招标文件和中标人投标文件所要求的技术标准。杜绝证照不全、假冒、伪劣、过期、失效、淘汰或不合格的产品进入医院，否则，中标人承担由此造成的一切后果。</w:t>
      </w:r>
    </w:p>
    <w:p>
      <w:pPr>
        <w:spacing w:line="360" w:lineRule="auto"/>
        <w:ind w:firstLine="420" w:firstLineChars="2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.中标人提供的产品，每个批次须提供该批次同批号产品检验报告。</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3.保证投标产品的质量，有效期的产品必须留有至少80%的有效期。</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4.保证是原产地生产的原装产品，否则视为假冒伪劣</w:t>
      </w:r>
      <w:r>
        <w:rPr>
          <w:rFonts w:ascii="宋体" w:hAnsi="宋体" w:cs="宋体"/>
          <w:szCs w:val="21"/>
          <w:highlight w:val="none"/>
        </w:rPr>
        <w:t>产品。</w:t>
      </w:r>
    </w:p>
    <w:p>
      <w:pPr>
        <w:spacing w:line="360" w:lineRule="auto"/>
        <w:ind w:firstLine="422" w:firstLineChars="200"/>
        <w:jc w:val="left"/>
        <w:rPr>
          <w:rFonts w:ascii="宋体" w:hAnsi="宋体" w:cs="宋体"/>
          <w:szCs w:val="21"/>
          <w:highlight w:val="none"/>
        </w:rPr>
      </w:pPr>
      <w:r>
        <w:rPr>
          <w:rFonts w:hint="eastAsia" w:ascii="宋体" w:hAnsi="宋体" w:cs="宋体"/>
          <w:b/>
          <w:bCs/>
          <w:szCs w:val="21"/>
          <w:highlight w:val="none"/>
        </w:rPr>
        <w:t>四、供货及售后要求</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1.投标人接到招标人供货通知，根据招标人通知的规格型号和数量按计划送货，按照招标人要求送至指定地点，负责运输。</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2.中标人根据招标人采购计划进行供货，不允许超计划供货，超出计划的数量，招标人不予验收入库，由中标人无条件带回。</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3.中标人所投的品牌货物在供货或使用过程中出现质量和使用问题，招标人有权要求更换，直至招标人满意，且不再另行支付任何费用。</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4.按招标人实际需求进行供货，中标人须无条件满足招标人需求，确保供货质量并及时供货。</w:t>
      </w:r>
    </w:p>
    <w:p>
      <w:pPr>
        <w:widowControl/>
        <w:spacing w:line="360" w:lineRule="auto"/>
        <w:ind w:firstLine="422" w:firstLineChars="200"/>
        <w:rPr>
          <w:rFonts w:ascii="宋体" w:hAnsi="宋体" w:cs="宋体"/>
          <w:b/>
          <w:szCs w:val="21"/>
          <w:highlight w:val="none"/>
        </w:rPr>
      </w:pPr>
      <w:r>
        <w:rPr>
          <w:rFonts w:hint="eastAsia" w:ascii="宋体" w:hAnsi="宋体" w:cs="宋体"/>
          <w:b/>
          <w:szCs w:val="21"/>
          <w:highlight w:val="none"/>
        </w:rPr>
        <w:t>五、验收</w:t>
      </w:r>
    </w:p>
    <w:p>
      <w:pPr>
        <w:snapToGrid w:val="0"/>
        <w:spacing w:line="360" w:lineRule="auto"/>
        <w:ind w:firstLine="420" w:firstLineChars="200"/>
        <w:rPr>
          <w:rFonts w:ascii="宋体" w:hAnsi="宋体" w:cs="宋体"/>
          <w:b/>
          <w:bCs/>
          <w:snapToGrid w:val="0"/>
          <w:szCs w:val="21"/>
          <w:highlight w:val="none"/>
        </w:rPr>
      </w:pPr>
      <w:r>
        <w:rPr>
          <w:rFonts w:hint="eastAsia" w:ascii="宋体" w:hAnsi="宋体" w:cs="宋体"/>
          <w:szCs w:val="21"/>
          <w:highlight w:val="none"/>
        </w:rPr>
        <w:t>验收时招标人和中标人双方共同实施验收工作，验收合格后，结果和验收报告经双方确认后生效。</w:t>
      </w:r>
      <w:r>
        <w:rPr>
          <w:rFonts w:hint="eastAsia" w:ascii="宋体" w:hAnsi="宋体" w:cs="宋体"/>
          <w:szCs w:val="21"/>
          <w:highlight w:val="none"/>
        </w:rPr>
        <w:br w:type="textWrapping"/>
      </w:r>
      <w:r>
        <w:rPr>
          <w:rFonts w:hint="eastAsia" w:ascii="宋体" w:hAnsi="宋体" w:cs="宋体"/>
          <w:szCs w:val="21"/>
          <w:highlight w:val="none"/>
        </w:rPr>
        <w:t xml:space="preserve">    </w:t>
      </w:r>
      <w:r>
        <w:rPr>
          <w:rFonts w:hint="eastAsia" w:ascii="宋体" w:hAnsi="宋体" w:cs="宋体"/>
          <w:b/>
          <w:bCs/>
          <w:snapToGrid w:val="0"/>
          <w:szCs w:val="21"/>
          <w:highlight w:val="none"/>
        </w:rPr>
        <w:t>六、报价要求</w:t>
      </w:r>
    </w:p>
    <w:p>
      <w:pPr>
        <w:spacing w:line="360" w:lineRule="auto"/>
        <w:ind w:firstLine="420" w:firstLineChars="200"/>
        <w:rPr>
          <w:rFonts w:ascii="宋体" w:hAnsi="宋体" w:cs="宋体"/>
          <w:szCs w:val="21"/>
          <w:highlight w:val="none"/>
        </w:rPr>
      </w:pPr>
      <w:r>
        <w:rPr>
          <w:rFonts w:hint="eastAsia" w:ascii="宋体" w:hAnsi="宋体" w:cs="宋体"/>
          <w:snapToGrid w:val="0"/>
          <w:szCs w:val="21"/>
          <w:highlight w:val="none"/>
        </w:rPr>
        <w:t>投标人按</w:t>
      </w:r>
      <w:r>
        <w:rPr>
          <w:rFonts w:hint="eastAsia"/>
          <w:szCs w:val="21"/>
          <w:highlight w:val="none"/>
        </w:rPr>
        <w:t>费率</w:t>
      </w:r>
      <w:r>
        <w:rPr>
          <w:rFonts w:hint="eastAsia" w:ascii="宋体" w:hAnsi="宋体" w:cs="宋体"/>
          <w:snapToGrid w:val="0"/>
          <w:szCs w:val="21"/>
          <w:highlight w:val="none"/>
        </w:rPr>
        <w:t>进行报价，其</w:t>
      </w:r>
      <w:r>
        <w:rPr>
          <w:rFonts w:hint="eastAsia" w:ascii="宋体" w:hAnsi="宋体"/>
          <w:szCs w:val="21"/>
          <w:highlight w:val="none"/>
        </w:rPr>
        <w:t>投标费率不得高于最高投标费率</w:t>
      </w:r>
      <w:r>
        <w:rPr>
          <w:rFonts w:hint="eastAsia"/>
          <w:szCs w:val="21"/>
          <w:highlight w:val="none"/>
        </w:rPr>
        <w:t>。</w:t>
      </w:r>
      <w:r>
        <w:rPr>
          <w:rFonts w:hint="eastAsia" w:ascii="宋体" w:hAnsi="宋体" w:cs="宋体"/>
          <w:szCs w:val="21"/>
          <w:highlight w:val="none"/>
        </w:rPr>
        <w:t>报价应包含产品费用、</w:t>
      </w:r>
      <w:r>
        <w:rPr>
          <w:rFonts w:ascii="宋体" w:hAnsi="宋体" w:cs="宋体"/>
          <w:szCs w:val="21"/>
          <w:highlight w:val="none"/>
        </w:rPr>
        <w:t>运费(多次分批量送货</w:t>
      </w:r>
      <w:r>
        <w:rPr>
          <w:rFonts w:hint="eastAsia" w:ascii="宋体" w:hAnsi="宋体" w:cs="宋体"/>
          <w:szCs w:val="21"/>
          <w:highlight w:val="none"/>
        </w:rPr>
        <w:t>，含装卸力资）、</w:t>
      </w:r>
      <w:r>
        <w:rPr>
          <w:rFonts w:ascii="宋体" w:hAnsi="宋体" w:cs="宋体"/>
          <w:szCs w:val="21"/>
          <w:highlight w:val="none"/>
        </w:rPr>
        <w:t>税费</w:t>
      </w:r>
      <w:r>
        <w:rPr>
          <w:rFonts w:hint="eastAsia" w:ascii="宋体" w:hAnsi="宋体" w:cs="宋体"/>
          <w:szCs w:val="21"/>
          <w:highlight w:val="none"/>
        </w:rPr>
        <w:t>、</w:t>
      </w:r>
      <w:r>
        <w:rPr>
          <w:rFonts w:hint="eastAsia" w:ascii="宋体" w:hAnsi="宋体" w:cs="宋体"/>
          <w:szCs w:val="21"/>
          <w:highlight w:val="none"/>
          <w:lang w:val="zh-CN"/>
        </w:rPr>
        <w:t>检验</w:t>
      </w:r>
      <w:r>
        <w:rPr>
          <w:rFonts w:hint="eastAsia" w:ascii="宋体" w:hAnsi="宋体" w:cs="宋体"/>
          <w:szCs w:val="21"/>
          <w:highlight w:val="none"/>
        </w:rPr>
        <w:t>费</w:t>
      </w:r>
      <w:r>
        <w:rPr>
          <w:rFonts w:hint="eastAsia" w:ascii="宋体" w:hAnsi="宋体" w:cs="宋体"/>
          <w:szCs w:val="21"/>
          <w:highlight w:val="none"/>
          <w:lang w:val="zh-CN"/>
        </w:rPr>
        <w:t>、</w:t>
      </w:r>
      <w:r>
        <w:rPr>
          <w:rFonts w:ascii="宋体" w:hAnsi="宋体" w:cs="宋体"/>
          <w:szCs w:val="21"/>
          <w:highlight w:val="none"/>
        </w:rPr>
        <w:t>保险费、</w:t>
      </w:r>
      <w:r>
        <w:rPr>
          <w:rFonts w:hint="eastAsia" w:ascii="宋体" w:hAnsi="宋体" w:cs="宋体"/>
          <w:szCs w:val="21"/>
          <w:highlight w:val="none"/>
        </w:rPr>
        <w:t>仓储费、包装费、售后服务等为完成本项目所必须的其他辅助工作的相关费用等所有费用。投标人应结合采购需求及自身情况合理报价，一旦中标，中标费率后期将不作任何调整，其结算价为单价最高限价*实际使用量*中标费率。</w:t>
      </w:r>
    </w:p>
    <w:p>
      <w:pPr>
        <w:widowControl/>
        <w:spacing w:line="360" w:lineRule="auto"/>
        <w:ind w:firstLine="422" w:firstLineChars="200"/>
        <w:rPr>
          <w:rFonts w:ascii="宋体" w:hAnsi="宋体" w:cs="宋体"/>
          <w:b/>
          <w:szCs w:val="21"/>
          <w:highlight w:val="none"/>
        </w:rPr>
      </w:pPr>
      <w:r>
        <w:rPr>
          <w:rFonts w:hint="eastAsia" w:ascii="宋体" w:hAnsi="宋体" w:cs="宋体"/>
          <w:b/>
          <w:szCs w:val="21"/>
          <w:highlight w:val="none"/>
        </w:rPr>
        <w:t>七、付款方式</w:t>
      </w:r>
    </w:p>
    <w:p>
      <w:r>
        <w:rPr>
          <w:rFonts w:hint="eastAsia" w:ascii="宋体" w:hAnsi="宋体" w:cs="宋体"/>
          <w:szCs w:val="21"/>
          <w:highlight w:val="none"/>
        </w:rPr>
        <w:t>本项目一次性规划，分步实施，按实结算，货到验收合格、收到正规发票后6个月内付款。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756413A1"/>
    <w:rsid w:val="75641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100" w:after="100"/>
      <w:jc w:val="center"/>
      <w:outlineLvl w:val="0"/>
    </w:pPr>
    <w:rPr>
      <w:b/>
      <w:bCs/>
      <w:kern w:val="44"/>
      <w:sz w:val="32"/>
      <w:szCs w:val="4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Text1I"/>
    <w:basedOn w:val="3"/>
    <w:next w:val="1"/>
    <w:qFormat/>
    <w:uiPriority w:val="0"/>
    <w:pPr>
      <w:ind w:firstLine="420" w:firstLineChars="100"/>
    </w:pPr>
  </w:style>
  <w:style w:type="paragraph" w:customStyle="1" w:styleId="3">
    <w:name w:val="BodyText"/>
    <w:basedOn w:val="1"/>
    <w:next w:val="4"/>
    <w:qFormat/>
    <w:uiPriority w:val="0"/>
    <w:pPr>
      <w:spacing w:after="120"/>
      <w:textAlignment w:val="baseline"/>
    </w:pPr>
  </w:style>
  <w:style w:type="paragraph" w:customStyle="1" w:styleId="4">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1217</Words>
  <Characters>1259</Characters>
  <Lines>0</Lines>
  <Paragraphs>0</Paragraphs>
  <TotalTime>0</TotalTime>
  <ScaleCrop>false</ScaleCrop>
  <LinksUpToDate>false</LinksUpToDate>
  <CharactersWithSpaces>1266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2023-07-11T03:36:00Z</dcterms:created>
  <dc:creator>兔子爱上了窝边草</dc:creator>
  <cp:lastModifiedBy>兔子爱上了窝边草</cp:lastModifiedBy>
  <dcterms:modified xsi:type="dcterms:W3CDTF">2023-07-11T03:37:41Z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90AE91F58EF34284A2C61620702FBED3_11</vt:lpwstr>
  </property>
</Properties>
</file>