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jc w:val="center"/>
        <w:rPr>
          <w:b w:val="0"/>
          <w:bCs w:val="0"/>
          <w:color w:val="000000"/>
          <w:highlight w:val="none"/>
        </w:rPr>
      </w:pPr>
      <w:bookmarkStart w:id="0" w:name="_Toc12616"/>
      <w:bookmarkStart w:id="1" w:name="_Toc490233120"/>
      <w:r>
        <w:rPr>
          <w:rFonts w:hint="eastAsia"/>
          <w:b w:val="0"/>
          <w:bCs w:val="0"/>
          <w:color w:val="000000"/>
          <w:highlight w:val="none"/>
        </w:rPr>
        <w:t>货物需求及技术要求</w:t>
      </w:r>
      <w:bookmarkEnd w:id="0"/>
      <w:bookmarkEnd w:id="1"/>
    </w:p>
    <w:p>
      <w:pPr>
        <w:widowControl/>
        <w:spacing w:line="360" w:lineRule="auto"/>
        <w:ind w:firstLine="430"/>
        <w:jc w:val="left"/>
        <w:rPr>
          <w:rFonts w:ascii="宋体" w:hAnsi="宋体"/>
          <w:b w:val="0"/>
          <w:bCs w:val="0"/>
          <w:szCs w:val="21"/>
          <w:highlight w:val="none"/>
        </w:rPr>
      </w:pPr>
      <w:bookmarkStart w:id="2" w:name="_Toc24523"/>
      <w:bookmarkStart w:id="3" w:name="_Toc12315"/>
      <w:bookmarkStart w:id="4" w:name="_Toc7241"/>
      <w:r>
        <w:rPr>
          <w:rFonts w:hint="eastAsia" w:ascii="宋体" w:hAnsi="宋体"/>
          <w:b w:val="0"/>
          <w:bCs w:val="0"/>
          <w:szCs w:val="21"/>
          <w:highlight w:val="none"/>
        </w:rPr>
        <w:t>为鼓励不同品牌的充分竞争，如某设备的某技术参数或要求属于个别品牌专有，则该技术参数及要求不具有限制性，投标人可对该参数或要求进行适当调整，但这种调整整体上要优于或相当于</w:t>
      </w:r>
      <w:r>
        <w:rPr>
          <w:rFonts w:hint="eastAsia" w:ascii="宋体" w:hAnsi="宋体"/>
          <w:b w:val="0"/>
          <w:bCs w:val="0"/>
          <w:szCs w:val="21"/>
          <w:highlight w:val="none"/>
          <w:lang w:eastAsia="zh-CN"/>
        </w:rPr>
        <w:t>采购文件</w:t>
      </w:r>
      <w:r>
        <w:rPr>
          <w:rFonts w:hint="eastAsia" w:ascii="宋体" w:hAnsi="宋体"/>
          <w:b w:val="0"/>
          <w:bCs w:val="0"/>
          <w:szCs w:val="21"/>
          <w:highlight w:val="none"/>
        </w:rPr>
        <w:t>的相关要求，并说明调整理由，且该调整须经评委会审核认可。</w:t>
      </w:r>
    </w:p>
    <w:p>
      <w:pPr>
        <w:widowControl/>
        <w:spacing w:line="360" w:lineRule="auto"/>
        <w:ind w:firstLine="430"/>
        <w:jc w:val="left"/>
        <w:rPr>
          <w:rFonts w:ascii="宋体" w:hAnsi="宋体"/>
          <w:b w:val="0"/>
          <w:bCs w:val="0"/>
          <w:szCs w:val="21"/>
          <w:highlight w:val="none"/>
        </w:rPr>
      </w:pPr>
      <w:r>
        <w:rPr>
          <w:rFonts w:hint="eastAsia" w:ascii="宋体" w:hAnsi="宋体"/>
          <w:b w:val="0"/>
          <w:bCs w:val="0"/>
          <w:szCs w:val="21"/>
          <w:highlight w:val="none"/>
        </w:rPr>
        <w:t>一、货物需求</w:t>
      </w:r>
      <w:bookmarkStart w:id="5" w:name="_GoBack"/>
      <w:bookmarkEnd w:id="5"/>
    </w:p>
    <w:tbl>
      <w:tblPr>
        <w:tblStyle w:val="4"/>
        <w:tblW w:w="87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4138"/>
        <w:gridCol w:w="33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highlight w:val="none"/>
              </w:rPr>
              <w:t>名称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highlight w:val="none"/>
              </w:rPr>
              <w:t>采购限价（元）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highlight w:val="none"/>
              </w:rPr>
              <w:t>UBE医疗器械一批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highlight w:val="none"/>
              </w:rPr>
              <w:t>47000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8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 w:val="0"/>
                <w:bCs w:val="0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highlight w:val="none"/>
              </w:rPr>
              <w:t>说明：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b w:val="0"/>
                <w:bCs w:val="0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highlight w:val="none"/>
              </w:rPr>
              <w:t>1、投标人的投标文件必须标明所投货物的品牌与参数，保证原厂正品供货，提供相关资料等。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highlight w:val="none"/>
              </w:rPr>
              <w:t>2、质保期：一年。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3、本项目进入我院 SPD 管理。</w:t>
            </w:r>
          </w:p>
        </w:tc>
      </w:tr>
    </w:tbl>
    <w:p>
      <w:pPr>
        <w:widowControl/>
        <w:spacing w:line="360" w:lineRule="auto"/>
        <w:ind w:firstLine="430"/>
        <w:jc w:val="left"/>
        <w:rPr>
          <w:rFonts w:ascii="宋体" w:hAnsi="宋体"/>
          <w:b w:val="0"/>
          <w:bCs w:val="0"/>
          <w:szCs w:val="21"/>
          <w:highlight w:val="none"/>
        </w:rPr>
      </w:pPr>
      <w:r>
        <w:rPr>
          <w:rFonts w:hint="eastAsia" w:ascii="宋体" w:hAnsi="宋体"/>
          <w:b w:val="0"/>
          <w:bCs w:val="0"/>
          <w:szCs w:val="21"/>
          <w:highlight w:val="none"/>
        </w:rPr>
        <w:t>二、技术参数要求</w:t>
      </w:r>
    </w:p>
    <w:tbl>
      <w:tblPr>
        <w:tblStyle w:val="4"/>
        <w:tblW w:w="92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160"/>
        <w:gridCol w:w="5736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highlight w:val="none"/>
              </w:rPr>
              <w:t>货物名称</w:t>
            </w:r>
          </w:p>
        </w:tc>
        <w:tc>
          <w:tcPr>
            <w:tcW w:w="5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highlight w:val="none"/>
              </w:rPr>
              <w:t>技术参数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highlight w:val="none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7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肌肉逐级扩张导杆</w:t>
            </w:r>
          </w:p>
        </w:tc>
        <w:tc>
          <w:tcPr>
            <w:tcW w:w="5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直径4.8mm，长度200mm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肌肉逐级扩张套管</w:t>
            </w:r>
          </w:p>
        </w:tc>
        <w:tc>
          <w:tcPr>
            <w:tcW w:w="5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内径5.2mm，外径：6.8mm，长度185mm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肌肉逐级扩张套管</w:t>
            </w:r>
          </w:p>
        </w:tc>
        <w:tc>
          <w:tcPr>
            <w:tcW w:w="5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内径7.0mm，外径8.8mm，长度170mm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67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肌肉逐级扩张套管</w:t>
            </w:r>
          </w:p>
        </w:tc>
        <w:tc>
          <w:tcPr>
            <w:tcW w:w="5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内径9.0mm，外径10.8mm，长度155mm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肌肉逐级扩张套管</w:t>
            </w:r>
          </w:p>
        </w:tc>
        <w:tc>
          <w:tcPr>
            <w:tcW w:w="5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内径11.0mm，外径12.8mm，长度140mm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肌肉逐级扩张套管</w:t>
            </w:r>
          </w:p>
        </w:tc>
        <w:tc>
          <w:tcPr>
            <w:tcW w:w="5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内径13.0mm，外径14.8mm，长度120mm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神经剥离子</w:t>
            </w:r>
          </w:p>
        </w:tc>
        <w:tc>
          <w:tcPr>
            <w:tcW w:w="5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刃宽3.9mm，长度297mm,刃折弯，二头15°/30°带刃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神经根探子</w:t>
            </w:r>
          </w:p>
        </w:tc>
        <w:tc>
          <w:tcPr>
            <w:tcW w:w="5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外径3.9mm，长度150mm,L型，球头直径1.5mm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神经根探子</w:t>
            </w:r>
          </w:p>
        </w:tc>
        <w:tc>
          <w:tcPr>
            <w:tcW w:w="5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外径3.9mm，工作长度150mm.可弯曲，角度30°，球头直径1.5mm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拉钩</w:t>
            </w:r>
          </w:p>
        </w:tc>
        <w:tc>
          <w:tcPr>
            <w:tcW w:w="5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直型拉钩（窄），折弯119°，工作长度100mm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拉钩</w:t>
            </w:r>
          </w:p>
        </w:tc>
        <w:tc>
          <w:tcPr>
            <w:tcW w:w="5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双弯曲拉钩（左向），折弯119°，工作长度100mm，前左弯9mm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67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拉钩</w:t>
            </w:r>
          </w:p>
        </w:tc>
        <w:tc>
          <w:tcPr>
            <w:tcW w:w="5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双弯曲拉钩（右向），折弯119°，工作长度100mm， 前右弯9mm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7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拉钩</w:t>
            </w:r>
          </w:p>
        </w:tc>
        <w:tc>
          <w:tcPr>
            <w:tcW w:w="5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双弯曲拉钩（直向），折弯119°工作长度100mm， 前直型9mm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67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骨凿</w:t>
            </w:r>
          </w:p>
        </w:tc>
        <w:tc>
          <w:tcPr>
            <w:tcW w:w="5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外径5mm,长度150mm,前端刀头长度3mm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骨凿</w:t>
            </w:r>
          </w:p>
        </w:tc>
        <w:tc>
          <w:tcPr>
            <w:tcW w:w="5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外径5mm,长度150mm,前端折弯20°，前端折弯3mm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67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骨凿</w:t>
            </w:r>
          </w:p>
        </w:tc>
        <w:tc>
          <w:tcPr>
            <w:tcW w:w="5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外径5mm,长度150mm,前端折38°，前端折弯3mm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扩张通道</w:t>
            </w:r>
          </w:p>
        </w:tc>
        <w:tc>
          <w:tcPr>
            <w:tcW w:w="5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外径18mm，内径15mm，长度60mm，夹持稳定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可调扩张通道</w:t>
            </w:r>
          </w:p>
        </w:tc>
        <w:tc>
          <w:tcPr>
            <w:tcW w:w="5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外径18mm，内径15mm,长度60mm，夹持稳定，可调节通道直径大小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2毫米正向髓核钳</w:t>
            </w:r>
          </w:p>
        </w:tc>
        <w:tc>
          <w:tcPr>
            <w:tcW w:w="5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枪式 弯头 220*2.0mm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2毫米反向髓核钳</w:t>
            </w:r>
          </w:p>
        </w:tc>
        <w:tc>
          <w:tcPr>
            <w:tcW w:w="5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头部反口 钳身有肩 220*2.0mm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2毫米正向枪钳 110度</w:t>
            </w:r>
          </w:p>
        </w:tc>
        <w:tc>
          <w:tcPr>
            <w:tcW w:w="5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头部正口 钳身有肩 220*2.0*110°开口角度110度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67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3毫米正向枪钳 130度</w:t>
            </w:r>
          </w:p>
        </w:tc>
        <w:tc>
          <w:tcPr>
            <w:tcW w:w="5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头部正口 钳身有肩 220*3.0*130°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3毫米反向枪钳 130度</w:t>
            </w:r>
          </w:p>
        </w:tc>
        <w:tc>
          <w:tcPr>
            <w:tcW w:w="5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头部反口 钳身有肩 220*3.0*130°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2毫米反向向枪钳 110度</w:t>
            </w:r>
          </w:p>
        </w:tc>
        <w:tc>
          <w:tcPr>
            <w:tcW w:w="57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头部反口 钳身有肩 230*2.0*110°开口角度110度 前段有弧度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2毫米正向枪钳 110度  前段带弧度</w:t>
            </w:r>
          </w:p>
        </w:tc>
        <w:tc>
          <w:tcPr>
            <w:tcW w:w="57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头部反口 钳身有肩 230*2.0*110°开口角度110度 前段有弧度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2毫米反向枪钳 110度  前段带弧度</w:t>
            </w:r>
          </w:p>
        </w:tc>
        <w:tc>
          <w:tcPr>
            <w:tcW w:w="57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头部反口 钳身有肩 230*2.0*110°开口角度110度 前段有弧度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3毫米正向枪钳 130度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前段带弧度</w:t>
            </w:r>
          </w:p>
        </w:tc>
        <w:tc>
          <w:tcPr>
            <w:tcW w:w="57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头部反口 钳身有肩 230*3.0*130°开口角度130度 前段有弧度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3毫米反向枪钳 130度  前段带弧度</w:t>
            </w:r>
          </w:p>
        </w:tc>
        <w:tc>
          <w:tcPr>
            <w:tcW w:w="57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头部反口 钳身有肩 230*3.0*130°开口角度130度 前段有弧度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</w:rPr>
              <w:t>1个</w:t>
            </w:r>
          </w:p>
        </w:tc>
      </w:tr>
      <w:bookmarkEnd w:id="2"/>
      <w:bookmarkEnd w:id="3"/>
      <w:bookmarkEnd w:id="4"/>
    </w:tbl>
    <w:p>
      <w:pPr>
        <w:spacing w:line="360" w:lineRule="auto"/>
        <w:ind w:firstLine="420" w:firstLineChars="200"/>
        <w:rPr>
          <w:rFonts w:ascii="宋体" w:hAnsi="宋体" w:cs="宋体"/>
          <w:b w:val="0"/>
          <w:bCs w:val="0"/>
          <w:szCs w:val="21"/>
          <w:highlight w:val="none"/>
        </w:rPr>
      </w:pPr>
      <w:r>
        <w:rPr>
          <w:rFonts w:hint="eastAsia" w:ascii="宋体" w:hAnsi="宋体" w:cs="宋体"/>
          <w:b w:val="0"/>
          <w:bCs w:val="0"/>
          <w:szCs w:val="21"/>
          <w:highlight w:val="none"/>
        </w:rPr>
        <w:t>三、人员培训要求</w:t>
      </w:r>
    </w:p>
    <w:p>
      <w:pPr>
        <w:spacing w:line="360" w:lineRule="auto"/>
        <w:rPr>
          <w:rFonts w:ascii="宋体" w:hAnsi="宋体" w:cs="宋体"/>
          <w:b w:val="0"/>
          <w:bCs w:val="0"/>
          <w:szCs w:val="21"/>
          <w:highlight w:val="none"/>
        </w:rPr>
      </w:pPr>
      <w:r>
        <w:rPr>
          <w:rFonts w:hint="eastAsia" w:ascii="宋体" w:hAnsi="宋体" w:cs="宋体"/>
          <w:b w:val="0"/>
          <w:bCs w:val="0"/>
          <w:szCs w:val="21"/>
          <w:highlight w:val="none"/>
        </w:rPr>
        <w:t xml:space="preserve">    货物安装、调试、验收合格后，中标人应对</w:t>
      </w:r>
      <w:r>
        <w:rPr>
          <w:rFonts w:hint="eastAsia" w:ascii="宋体" w:hAnsi="宋体" w:cs="宋体"/>
          <w:b w:val="0"/>
          <w:bCs w:val="0"/>
          <w:szCs w:val="21"/>
          <w:highlight w:val="none"/>
          <w:lang w:eastAsia="zh-CN"/>
        </w:rPr>
        <w:t>采购人</w:t>
      </w:r>
      <w:r>
        <w:rPr>
          <w:rFonts w:hint="eastAsia" w:ascii="宋体" w:hAnsi="宋体" w:cs="宋体"/>
          <w:b w:val="0"/>
          <w:bCs w:val="0"/>
          <w:szCs w:val="21"/>
          <w:highlight w:val="none"/>
        </w:rPr>
        <w:t>的相关人员进行免费现场培训。</w:t>
      </w:r>
    </w:p>
    <w:p>
      <w:pPr>
        <w:spacing w:line="360" w:lineRule="auto"/>
        <w:ind w:firstLine="420" w:firstLineChars="200"/>
        <w:rPr>
          <w:rFonts w:ascii="宋体" w:hAnsi="宋体" w:cs="宋体"/>
          <w:b w:val="0"/>
          <w:bCs w:val="0"/>
          <w:szCs w:val="21"/>
          <w:highlight w:val="none"/>
        </w:rPr>
      </w:pPr>
      <w:r>
        <w:rPr>
          <w:rFonts w:hint="eastAsia" w:ascii="宋体" w:hAnsi="宋体" w:cs="宋体"/>
          <w:b w:val="0"/>
          <w:bCs w:val="0"/>
          <w:szCs w:val="21"/>
          <w:highlight w:val="none"/>
        </w:rPr>
        <w:t>四、货物质量及售后服务要求</w:t>
      </w:r>
    </w:p>
    <w:p>
      <w:pPr>
        <w:spacing w:line="360" w:lineRule="auto"/>
        <w:rPr>
          <w:rFonts w:ascii="宋体" w:hAnsi="宋体" w:cs="宋体"/>
          <w:b w:val="0"/>
          <w:bCs w:val="0"/>
          <w:szCs w:val="21"/>
          <w:highlight w:val="none"/>
        </w:rPr>
      </w:pPr>
      <w:r>
        <w:rPr>
          <w:rFonts w:hint="eastAsia" w:ascii="宋体" w:hAnsi="宋体" w:cs="宋体"/>
          <w:b w:val="0"/>
          <w:bCs w:val="0"/>
          <w:szCs w:val="21"/>
          <w:highlight w:val="none"/>
        </w:rPr>
        <w:t xml:space="preserve">    1、货物质量：中标人提供的货物必须是全新、原装、合格正品，完全符合国家规定的质量标准和厂方的标准。货物完好，配件齐全。</w:t>
      </w:r>
    </w:p>
    <w:p>
      <w:pPr>
        <w:spacing w:line="360" w:lineRule="auto"/>
        <w:ind w:firstLine="420" w:firstLineChars="200"/>
        <w:rPr>
          <w:rFonts w:ascii="宋体" w:hAnsi="宋体" w:cs="宋体"/>
          <w:b w:val="0"/>
          <w:bCs w:val="0"/>
          <w:szCs w:val="21"/>
          <w:highlight w:val="none"/>
        </w:rPr>
      </w:pPr>
      <w:r>
        <w:rPr>
          <w:rFonts w:hint="eastAsia" w:ascii="宋体" w:hAnsi="宋体" w:cs="宋体"/>
          <w:b w:val="0"/>
          <w:bCs w:val="0"/>
          <w:szCs w:val="21"/>
          <w:highlight w:val="none"/>
        </w:rPr>
        <w:t>2、保修及售后服务：依据商品的保修条款及售后服务条款，提供原厂质保，质保期按照国家规定，且不低于所供品牌向用户承诺的质保期限。</w:t>
      </w:r>
      <w:r>
        <w:rPr>
          <w:rFonts w:hint="eastAsia" w:ascii="宋体" w:hAnsi="宋体" w:cs="宋体"/>
          <w:b w:val="0"/>
          <w:bCs w:val="0"/>
          <w:szCs w:val="21"/>
          <w:highlight w:val="none"/>
          <w:lang w:eastAsia="zh-CN"/>
        </w:rPr>
        <w:t>采购文件</w:t>
      </w:r>
      <w:r>
        <w:rPr>
          <w:rFonts w:hint="eastAsia" w:ascii="宋体" w:hAnsi="宋体" w:cs="宋体"/>
          <w:b w:val="0"/>
          <w:bCs w:val="0"/>
          <w:szCs w:val="21"/>
          <w:highlight w:val="none"/>
        </w:rPr>
        <w:t>另有约定的从其约定。质保期从货物验收合格后算起。</w:t>
      </w:r>
    </w:p>
    <w:p>
      <w:pPr>
        <w:spacing w:line="360" w:lineRule="auto"/>
        <w:ind w:firstLine="420" w:firstLineChars="200"/>
        <w:rPr>
          <w:rFonts w:ascii="宋体" w:hAnsi="宋体" w:cs="宋体"/>
          <w:b w:val="0"/>
          <w:bCs w:val="0"/>
          <w:szCs w:val="21"/>
          <w:highlight w:val="none"/>
        </w:rPr>
      </w:pPr>
      <w:r>
        <w:rPr>
          <w:rFonts w:hint="eastAsia" w:ascii="宋体" w:hAnsi="宋体" w:cs="宋体"/>
          <w:b w:val="0"/>
          <w:bCs w:val="0"/>
          <w:szCs w:val="21"/>
          <w:highlight w:val="none"/>
        </w:rPr>
        <w:t>3、中标人所投的品牌货物在供货或使用过程中出现质量和使用问题，</w:t>
      </w:r>
      <w:r>
        <w:rPr>
          <w:rFonts w:hint="eastAsia" w:ascii="宋体" w:hAnsi="宋体" w:cs="宋体"/>
          <w:b w:val="0"/>
          <w:bCs w:val="0"/>
          <w:szCs w:val="21"/>
          <w:highlight w:val="none"/>
          <w:lang w:eastAsia="zh-CN"/>
        </w:rPr>
        <w:t>采购人</w:t>
      </w:r>
      <w:r>
        <w:rPr>
          <w:rFonts w:hint="eastAsia" w:ascii="宋体" w:hAnsi="宋体" w:cs="宋体"/>
          <w:b w:val="0"/>
          <w:bCs w:val="0"/>
          <w:szCs w:val="21"/>
          <w:highlight w:val="none"/>
        </w:rPr>
        <w:t>有权要求更换，直至</w:t>
      </w:r>
      <w:r>
        <w:rPr>
          <w:rFonts w:hint="eastAsia" w:ascii="宋体" w:hAnsi="宋体" w:cs="宋体"/>
          <w:b w:val="0"/>
          <w:bCs w:val="0"/>
          <w:szCs w:val="21"/>
          <w:highlight w:val="none"/>
          <w:lang w:eastAsia="zh-CN"/>
        </w:rPr>
        <w:t>采购人</w:t>
      </w:r>
      <w:r>
        <w:rPr>
          <w:rFonts w:hint="eastAsia" w:ascii="宋体" w:hAnsi="宋体" w:cs="宋体"/>
          <w:b w:val="0"/>
          <w:bCs w:val="0"/>
          <w:szCs w:val="21"/>
          <w:highlight w:val="none"/>
        </w:rPr>
        <w:t>满意，且不再另行支付任何费用。</w:t>
      </w:r>
    </w:p>
    <w:p>
      <w:pPr>
        <w:spacing w:line="360" w:lineRule="auto"/>
        <w:ind w:firstLine="420" w:firstLineChars="200"/>
        <w:rPr>
          <w:rFonts w:ascii="宋体" w:hAnsi="宋体" w:cs="宋体"/>
          <w:b w:val="0"/>
          <w:bCs w:val="0"/>
          <w:szCs w:val="21"/>
          <w:highlight w:val="none"/>
        </w:rPr>
      </w:pPr>
      <w:r>
        <w:rPr>
          <w:rFonts w:hint="eastAsia" w:ascii="宋体" w:hAnsi="宋体" w:cs="宋体"/>
          <w:b w:val="0"/>
          <w:bCs w:val="0"/>
          <w:szCs w:val="21"/>
          <w:highlight w:val="none"/>
        </w:rPr>
        <w:t>五、验收</w:t>
      </w:r>
    </w:p>
    <w:p>
      <w:pPr>
        <w:spacing w:line="360" w:lineRule="auto"/>
        <w:ind w:firstLine="420" w:firstLineChars="200"/>
        <w:rPr>
          <w:b w:val="0"/>
          <w:bCs w:val="0"/>
          <w:highlight w:val="none"/>
        </w:rPr>
      </w:pPr>
      <w:r>
        <w:rPr>
          <w:rFonts w:hint="eastAsia" w:ascii="宋体" w:hAnsi="宋体" w:cs="宋体"/>
          <w:b w:val="0"/>
          <w:bCs w:val="0"/>
          <w:szCs w:val="21"/>
          <w:highlight w:val="none"/>
        </w:rPr>
        <w:t>中标人和</w:t>
      </w:r>
      <w:r>
        <w:rPr>
          <w:rFonts w:hint="eastAsia" w:ascii="宋体" w:hAnsi="宋体" w:cs="宋体"/>
          <w:b w:val="0"/>
          <w:bCs w:val="0"/>
          <w:szCs w:val="21"/>
          <w:highlight w:val="none"/>
          <w:lang w:eastAsia="zh-CN"/>
        </w:rPr>
        <w:t>采购人</w:t>
      </w:r>
      <w:r>
        <w:rPr>
          <w:rFonts w:hint="eastAsia" w:ascii="宋体" w:hAnsi="宋体" w:cs="宋体"/>
          <w:b w:val="0"/>
          <w:bCs w:val="0"/>
          <w:szCs w:val="21"/>
          <w:highlight w:val="none"/>
        </w:rPr>
        <w:t>双方共同实施验收工作，结果和验收报告经双方确认后生效。</w:t>
      </w:r>
    </w:p>
    <w:p>
      <w:pPr>
        <w:numPr>
          <w:ilvl w:val="0"/>
          <w:numId w:val="1"/>
        </w:numPr>
        <w:spacing w:line="360" w:lineRule="auto"/>
        <w:ind w:left="420" w:leftChars="200"/>
        <w:rPr>
          <w:rFonts w:ascii="宋体" w:hAnsi="宋体" w:cs="宋体"/>
          <w:b w:val="0"/>
          <w:bCs w:val="0"/>
          <w:szCs w:val="21"/>
          <w:highlight w:val="none"/>
        </w:rPr>
      </w:pPr>
      <w:r>
        <w:rPr>
          <w:rFonts w:hint="eastAsia" w:ascii="宋体" w:hAnsi="宋体" w:cs="宋体"/>
          <w:b w:val="0"/>
          <w:bCs w:val="0"/>
          <w:szCs w:val="21"/>
          <w:highlight w:val="none"/>
        </w:rPr>
        <w:t>付款方式</w:t>
      </w:r>
    </w:p>
    <w:p>
      <w:pPr>
        <w:spacing w:line="360" w:lineRule="auto"/>
        <w:ind w:firstLine="420" w:firstLineChars="200"/>
        <w:rPr>
          <w:b w:val="0"/>
          <w:bCs w:val="0"/>
          <w:highlight w:val="none"/>
        </w:rPr>
      </w:pPr>
      <w:r>
        <w:rPr>
          <w:rFonts w:hint="eastAsia" w:ascii="宋体" w:hAnsi="宋体"/>
          <w:b w:val="0"/>
          <w:bCs w:val="0"/>
          <w:szCs w:val="21"/>
          <w:highlight w:val="none"/>
          <w:lang w:eastAsia="zh-CN"/>
        </w:rPr>
        <w:t>按医院采购计划配送，货到验收合格，发票开到医院财务后6个月内付款</w:t>
      </w:r>
      <w:r>
        <w:rPr>
          <w:rFonts w:hint="eastAsia" w:ascii="宋体" w:hAnsi="宋体"/>
          <w:b w:val="0"/>
          <w:bCs w:val="0"/>
          <w:szCs w:val="21"/>
          <w:highlight w:val="none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067D29"/>
    <w:multiLevelType w:val="singleLevel"/>
    <w:tmpl w:val="B6067D2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OTI1YjMzNzU1MGU0NTliYzYxY2RiZWM1MzEwMGQifQ=="/>
  </w:docVars>
  <w:rsids>
    <w:rsidRoot w:val="53E967C7"/>
    <w:rsid w:val="53E9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3"/>
    <w:basedOn w:val="1"/>
    <w:next w:val="1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2023-08-15T01:31:00Z</dcterms:created>
  <dc:creator>兔子爱上了窝边草</dc:creator>
  <cp:lastModifiedBy>兔子爱上了窝边草</cp:lastModifiedBy>
  <dcterms:modified xsi:type="dcterms:W3CDTF">2023-08-15T01:35:39Z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06849C24E2CF4548946C1E265A9F6084_11</vt:lpwstr>
  </property>
</Properties>
</file>