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jc w:val="center"/>
        <w:rPr>
          <w:b/>
          <w:bCs/>
          <w:color w:val="000000"/>
          <w:highlight w:val="none"/>
        </w:rPr>
      </w:pPr>
      <w:bookmarkStart w:id="0" w:name="_Toc31958"/>
      <w:bookmarkStart w:id="1" w:name="_Toc2096"/>
      <w:r>
        <w:rPr>
          <w:rFonts w:hint="eastAsia"/>
          <w:b/>
          <w:bCs/>
          <w:color w:val="000000"/>
          <w:highlight w:val="none"/>
        </w:rPr>
        <w:t>货物需求及技术要求</w:t>
      </w:r>
      <w:bookmarkEnd w:id="0"/>
      <w:bookmarkEnd w:id="1"/>
    </w:p>
    <w:p>
      <w:pPr>
        <w:widowControl/>
        <w:spacing w:line="360" w:lineRule="auto"/>
        <w:ind w:firstLine="430"/>
        <w:jc w:val="left"/>
        <w:rPr>
          <w:rFonts w:ascii="宋体" w:hAnsi="宋体"/>
          <w:b w:val="0"/>
          <w:bCs w:val="0"/>
          <w:szCs w:val="21"/>
          <w:highlight w:val="none"/>
        </w:rPr>
      </w:pPr>
      <w:bookmarkStart w:id="2" w:name="_Toc12315"/>
      <w:bookmarkStart w:id="3" w:name="_Toc24523"/>
      <w:bookmarkStart w:id="4" w:name="_Toc7241"/>
      <w:r>
        <w:rPr>
          <w:rFonts w:hint="eastAsia" w:ascii="宋体" w:hAnsi="宋体"/>
          <w:b w:val="0"/>
          <w:bCs w:val="0"/>
          <w:szCs w:val="21"/>
          <w:highlight w:val="none"/>
        </w:rPr>
        <w:t>为鼓励不同品牌的充分竞争，如某设备的某技术参数或要求属于个别品牌专有，则该技术参数及要求不具有限制性，投标人可对该参数或要求进行适当调整，但这种调整整体上要优于或相当于</w:t>
      </w:r>
      <w:r>
        <w:rPr>
          <w:rFonts w:hint="eastAsia" w:ascii="宋体" w:hAnsi="宋体"/>
          <w:b w:val="0"/>
          <w:bCs w:val="0"/>
          <w:szCs w:val="21"/>
          <w:highlight w:val="none"/>
          <w:lang w:eastAsia="zh-CN"/>
        </w:rPr>
        <w:t>采购文件</w:t>
      </w:r>
      <w:r>
        <w:rPr>
          <w:rFonts w:hint="eastAsia" w:ascii="宋体" w:hAnsi="宋体"/>
          <w:b w:val="0"/>
          <w:bCs w:val="0"/>
          <w:szCs w:val="21"/>
          <w:highlight w:val="none"/>
        </w:rPr>
        <w:t>的相关要求，并说明调整理由，且该调整须经评委会审核认可。</w:t>
      </w:r>
    </w:p>
    <w:p>
      <w:pPr>
        <w:widowControl/>
        <w:numPr>
          <w:ilvl w:val="0"/>
          <w:numId w:val="1"/>
        </w:numPr>
        <w:spacing w:line="360" w:lineRule="auto"/>
        <w:ind w:firstLine="430"/>
        <w:jc w:val="left"/>
        <w:rPr>
          <w:rFonts w:hint="eastAsia"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/>
          <w:b/>
          <w:bCs/>
          <w:szCs w:val="21"/>
          <w:highlight w:val="none"/>
        </w:rPr>
        <w:t>需求</w:t>
      </w:r>
    </w:p>
    <w:tbl>
      <w:tblPr>
        <w:tblStyle w:val="7"/>
        <w:tblW w:w="96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762"/>
        <w:gridCol w:w="2700"/>
        <w:gridCol w:w="28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  <w:highlight w:val="none"/>
              </w:rPr>
            </w:pPr>
            <w:bookmarkStart w:id="5" w:name="_GoBack" w:colFirst="0" w:colLast="3"/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备注</w:t>
            </w:r>
          </w:p>
        </w:tc>
      </w:tr>
      <w:bookmarkEnd w:id="5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430"/>
              <w:jc w:val="left"/>
              <w:rPr>
                <w:rFonts w:hint="eastAsia" w:ascii="宋体" w:hAnsi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</w:rPr>
              <w:t>1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430"/>
              <w:jc w:val="left"/>
              <w:rPr>
                <w:rFonts w:hint="eastAsia" w:ascii="宋体" w:hAnsi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口腔综合治疗台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1056" w:firstLineChars="503"/>
              <w:jc w:val="left"/>
              <w:rPr>
                <w:rFonts w:hint="default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</w:rPr>
              <w:t>标</w:t>
            </w:r>
            <w:r>
              <w:rPr>
                <w:rFonts w:hint="eastAsia"/>
                <w:highlight w:val="none"/>
              </w:rPr>
              <w:t>★</w:t>
            </w: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</w:rPr>
              <w:t>项</w:t>
            </w: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eastAsia="zh-CN"/>
              </w:rPr>
              <w:t>为实质性要求，必须全部满足。以投标文件中提供的证明材料作为评审依据。</w:t>
            </w: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eastAsia="zh-CN"/>
              </w:rPr>
              <w:t>文件有明确要求的，按</w:t>
            </w: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eastAsia="zh-CN"/>
              </w:rPr>
              <w:t>文件要求提供，无要求的必须提供以下证明材料之一（</w:t>
            </w: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</w:rPr>
              <w:t>医疗器械注册证、医疗器械注册登记表、第三方检测报告、产品技术白皮书、产品使用说明书</w:t>
            </w: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eastAsia="zh-CN"/>
              </w:rPr>
              <w:t>）</w:t>
            </w:r>
          </w:p>
        </w:tc>
      </w:tr>
    </w:tbl>
    <w:p>
      <w:pPr>
        <w:pStyle w:val="4"/>
        <w:rPr>
          <w:rFonts w:hint="eastAsia"/>
        </w:rPr>
      </w:pPr>
    </w:p>
    <w:p>
      <w:pPr>
        <w:pStyle w:val="4"/>
        <w:numPr>
          <w:ilvl w:val="0"/>
          <w:numId w:val="1"/>
        </w:numPr>
        <w:ind w:left="0" w:leftChars="0" w:firstLine="43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技术参数</w:t>
      </w:r>
    </w:p>
    <w:bookmarkEnd w:id="2"/>
    <w:bookmarkEnd w:id="3"/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1工作条件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1.1环境温度5℃ - 40℃</w:t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1.2相对湿度 ≤20-60%</w:t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1.3供气压力范围 0.55 - 0.7Mpa, 流量≥50L/min</w:t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1.4水源水压范围 0.2 - 0.4Mpa, 流量≥10L/min</w:t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2患者座椅</w:t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2.1椅位载重量≥300KG，座垫面离地面高度：最低≤350mm，最高≥740mm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/>
          <w:highlight w:val="none"/>
        </w:rPr>
        <w:t>★</w:t>
      </w:r>
      <w:r>
        <w:rPr>
          <w:rFonts w:hint="eastAsia" w:ascii="宋体" w:hAnsi="宋体" w:cs="宋体"/>
          <w:color w:val="auto"/>
          <w:szCs w:val="21"/>
          <w:highlight w:val="none"/>
        </w:rPr>
        <w:t>2.2牙科椅及靠背升降均采用进口液压驱动系统，牙科椅和靠背升降速度可调。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2.3座垫架能围绕中心轴进行左右≤30°旋转，并且能在任意位锁紧。</w:t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2.4头枕采用双链轴头托，能伸长，活动范围≥170mm。按压式调节，松手即可锁定位置。向前调节，下放至椅背及前后锁定，能同时满足儿童，成人，轮椅位等9个体位。头枕后盖和PU头枕可拆卸。</w:t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2.5椅背可调至急救位置，靠背后仰角≥10°，升降和靠背运动具有联动补偿功能，并具有急救位功能。</w:t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2.6滑道式结构设计，快换式坐垫系统；采用皮革。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2.7配有机椅互锁系统，手机工作状态下，椅位保持锁定。</w:t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2.8靠背采用钢板一次压铸成型，采用上窄下宽设计。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2.9左右扶手皆可活动打开并镶嵌皮革。</w:t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2.10主控板上能显示当前操作的具体指令代码，并能显示诊断代码。</w:t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2.11无侧箱设计，所有电路，水路，气路控制系统集成在器械盘和地箱内。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3医师单元</w:t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3.1下穿式平衡臂，器械盘可180°旋转。</w:t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3.2下挂式器械盘，5个器械位，配有三用枪1把，两高一低四孔手机管.预留洁牙机位，挂架采用模块式可调节设计。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3.3器械盘右下方带有水气总开关，医生操作台所有手机管线具有独立一键式冲洗消毒功能，可快速冲洗手机导管内壁。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3.4左右双按键气刹阀，均可调整及锁定器械盘高度。</w:t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3.5移动式器械盘，配有可135度高温灭菌消毒的硅胶垫和304不锈钢置物盘</w:t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4助手单元</w:t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4.1助手单元可180°旋转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4.2配有三用喷枪1把及强弱吸各1把，吸唾器：抽水速率≥800ml/min，痰盂下水速度≥1000ml/min</w:t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4.3配有口腔灯开关键和漱口水加热键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4.4配有易于拆卸清洗的吸唾过滤系统</w:t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4.5痰盂可90°旋转，并能进行痰盂下水角度的调节</w:t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4.6漱口水加水和冲盂系统可设定时间</w:t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4.7漱口水加热杯自动恒温水加热器，具有防干烧功能，漱口水人性化加热功能设计，具有8小时工作自动关闭</w:t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4.8外置式净水瓶，方便拆卸加水</w:t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5口腔灯</w:t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5.1光照度6300-28000 Lux，</w:t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5.2手术灯可随牙椅升降，灯臂上仰角度30°，下仰角度30°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5.3采用LED光源，三轴定位调校灯头，具有白色和黄色两种光源可选择，蓝光截止功能，可防止光固化树脂提前固化，可感应式控制和面膜式控制</w:t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5.4灯平衡臂具有上推式LED灯开关功能，自动关灯和亮灯功能，到工作位置灯自动亮起，离开工作位自动关灯</w:t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6脚踏</w:t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6.1 采用电控和气控独立式脚开关，分别用于控制椅位的升降和手机工作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6.2 医师工作椅坐垫及靠背的高度可灵活调整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7、配置清单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7.1进口压盖高速手机2支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7.2进口低速马达 1套（含直、弯机各壹）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7.3内置进口洁牙机 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7.4内置进口光固化 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7.5医生座椅   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7.6助手座椅  1台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质保期不少于三年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三、质量要求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.</w:t>
      </w:r>
      <w:r>
        <w:rPr>
          <w:rFonts w:hint="eastAsia" w:ascii="宋体" w:hAnsi="宋体" w:cs="宋体"/>
          <w:color w:val="auto"/>
          <w:szCs w:val="21"/>
          <w:highlight w:val="none"/>
        </w:rPr>
        <w:t>投标人提供的货物必须是全新、标识清楚、符合国家规定的质量标准或行业现行标准的要求。没有国家标准和行业标准的，应达到经主管部门批准的企业现行标准要求，符合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  <w:highlight w:val="none"/>
        </w:rPr>
        <w:t>文件和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 w:cs="宋体"/>
          <w:color w:val="auto"/>
          <w:szCs w:val="21"/>
          <w:highlight w:val="none"/>
        </w:rPr>
        <w:t>投标文件所要求的技术标准。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cs="宋体"/>
          <w:color w:val="auto"/>
          <w:szCs w:val="21"/>
          <w:highlight w:val="none"/>
        </w:rPr>
        <w:t>保证是原产地生产的原装产品</w:t>
      </w:r>
      <w:r>
        <w:rPr>
          <w:rFonts w:ascii="宋体" w:hAnsi="宋体" w:cs="宋体"/>
          <w:color w:val="auto"/>
          <w:szCs w:val="21"/>
          <w:highlight w:val="none"/>
        </w:rPr>
        <w:t>。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四、</w:t>
      </w:r>
      <w:r>
        <w:rPr>
          <w:rFonts w:hint="eastAsia" w:ascii="宋体" w:hAnsi="宋体" w:cs="宋体"/>
          <w:b/>
          <w:szCs w:val="21"/>
          <w:highlight w:val="none"/>
          <w:lang w:val="en-GB" w:eastAsia="zh-CN"/>
        </w:rPr>
        <w:t>交货地点：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根据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需求送至指定地点。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五、供货、保修及售后要求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1.货物质量:中标人提供的货物必须是全新、原装、合格正品，完全符合国家规定的质量标准和厂方的标准。货物完好，配件齐全。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2.保修及售后服务:依据商品的保修条款及售后服务条款，提供原厂质保，质保期按照国家规定，且不低于所供品牌向用户承诺的质保期限。招标文件另有约定的从其约定。质保期从货物验收合格后算起。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3.质保期内设备故障要求1小时内应答， 2小时形成解决方案。逾期甲方可自行组织维修，费用由乙方承担。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六、</w:t>
      </w: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验收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货物到达现场后，由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组织首次验收，</w:t>
      </w:r>
      <w:r>
        <w:rPr>
          <w:rFonts w:hint="eastAsia" w:ascii="宋体" w:hAnsi="宋体" w:eastAsia="宋体" w:cs="宋体"/>
          <w:color w:val="000000"/>
          <w:szCs w:val="21"/>
          <w:highlight w:val="none"/>
          <w:lang w:val="en-US" w:eastAsia="zh-CN"/>
        </w:rPr>
        <w:t>中标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人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必须向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提供厂家出具的合格证明、供货证明和质量检验证书。到货后，若</w:t>
      </w:r>
      <w:r>
        <w:rPr>
          <w:rFonts w:hint="eastAsia" w:ascii="宋体" w:hAnsi="宋体" w:eastAsia="宋体" w:cs="宋体"/>
          <w:color w:val="000000"/>
          <w:szCs w:val="21"/>
          <w:highlight w:val="none"/>
          <w:lang w:val="en-US" w:eastAsia="zh-CN"/>
        </w:rPr>
        <w:t>中标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人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提供的产品不符合技术参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数要求和国家标准。</w:t>
      </w:r>
      <w:r>
        <w:rPr>
          <w:rFonts w:hint="eastAsia" w:ascii="宋体" w:hAnsi="宋体" w:eastAsia="宋体" w:cs="宋体"/>
          <w:color w:val="000000"/>
          <w:szCs w:val="21"/>
          <w:highlight w:val="none"/>
          <w:lang w:val="en-US" w:eastAsia="zh-CN"/>
        </w:rPr>
        <w:t>院方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有权拒收，无条件退货或要求换货。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、付款方式</w:t>
      </w:r>
    </w:p>
    <w:p>
      <w:pPr>
        <w:pStyle w:val="6"/>
        <w:ind w:firstLine="420" w:firstLineChars="200"/>
        <w:rPr>
          <w:rFonts w:hint="eastAsia" w:ascii="宋体" w:hAnsi="宋体" w:eastAsia="宋体" w:cs="宋体"/>
          <w:color w:val="00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highlight w:val="none"/>
          <w:lang w:val="en-US" w:eastAsia="zh-CN" w:bidi="ar-SA"/>
        </w:rPr>
        <w:t>1.设备安装调试完成验收合格，30个日历天内支付合同总金额的90%</w:t>
      </w:r>
      <w:r>
        <w:rPr>
          <w:rFonts w:hint="eastAsia" w:ascii="宋体" w:hAnsi="宋体" w:cs="宋体"/>
          <w:color w:val="000000"/>
          <w:kern w:val="2"/>
          <w:sz w:val="21"/>
          <w:szCs w:val="21"/>
          <w:highlight w:val="none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highlight w:val="none"/>
          <w:lang w:val="en-US" w:eastAsia="zh-CN" w:bidi="ar-SA"/>
        </w:rPr>
        <w:t>3年后一次性付清合同总金额的10％（不计利息，若有违约则扣除相应违约金）。</w:t>
      </w:r>
    </w:p>
    <w:p>
      <w:pPr>
        <w:pStyle w:val="6"/>
        <w:ind w:firstLine="420" w:firstLineChars="200"/>
        <w:rPr>
          <w:rFonts w:hint="eastAsia" w:ascii="宋体" w:hAnsi="宋体" w:eastAsia="宋体" w:cs="宋体"/>
          <w:color w:val="00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highlight w:val="none"/>
          <w:lang w:val="en-US" w:eastAsia="zh-CN" w:bidi="ar-SA"/>
        </w:rPr>
        <w:t>2</w:t>
      </w:r>
      <w:r>
        <w:rPr>
          <w:rFonts w:hint="eastAsia" w:ascii="宋体" w:hAnsi="宋体" w:cs="宋体"/>
          <w:color w:val="000000"/>
          <w:kern w:val="2"/>
          <w:sz w:val="21"/>
          <w:szCs w:val="21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highlight w:val="none"/>
          <w:lang w:val="en-US" w:eastAsia="zh-CN" w:bidi="ar-SA"/>
        </w:rPr>
        <w:t>付款前，乙方必须提供符合要求的发票，甲方再付款，否则导致不能付款的责任由乙方承担。</w:t>
      </w:r>
    </w:p>
    <w:p>
      <w:pPr>
        <w:rPr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529060"/>
    <w:multiLevelType w:val="singleLevel"/>
    <w:tmpl w:val="905290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F77D08F"/>
    <w:multiLevelType w:val="singleLevel"/>
    <w:tmpl w:val="BF77D08F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mZmNWFhZWJjODQ4ZDAzOGJjNjFhYTBjMjc3MzEifQ=="/>
  </w:docVars>
  <w:rsids>
    <w:rsidRoot w:val="00000000"/>
    <w:rsid w:val="39E542E9"/>
    <w:rsid w:val="7735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4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2023-10-12T02:45:00Z</dcterms:created>
  <dc:creator>0520</dc:creator>
  <cp:lastModifiedBy>小汤果子</cp:lastModifiedBy>
  <dcterms:modified xsi:type="dcterms:W3CDTF">2023-10-12T03:48:03Z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CD50501E12F64563819CD596025A8798_12</vt:lpwstr>
  </property>
</Properties>
</file>