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jc w:val="center"/>
        <w:rPr>
          <w:color w:val="000000" w:themeColor="text1"/>
          <w:highlight w:val="none"/>
          <w14:textFill>
            <w14:solidFill>
              <w14:schemeClr w14:val="tx1"/>
            </w14:solidFill>
          </w14:textFill>
        </w:rPr>
      </w:pPr>
      <w:bookmarkStart w:id="5" w:name="_GoBack"/>
      <w:bookmarkStart w:id="0" w:name="_Toc2096"/>
      <w:bookmarkStart w:id="1" w:name="_Toc31958"/>
      <w:r>
        <w:rPr>
          <w:rFonts w:hint="eastAsia"/>
          <w:color w:val="000000" w:themeColor="text1"/>
          <w:highlight w:val="none"/>
          <w14:textFill>
            <w14:solidFill>
              <w14:schemeClr w14:val="tx1"/>
            </w14:solidFill>
          </w14:textFill>
        </w:rPr>
        <w:t>货物需求及技术要求</w:t>
      </w:r>
      <w:bookmarkEnd w:id="0"/>
      <w:bookmarkEnd w:id="1"/>
    </w:p>
    <w:bookmarkEnd w:id="5"/>
    <w:p>
      <w:pPr>
        <w:widowControl/>
        <w:spacing w:line="360" w:lineRule="auto"/>
        <w:ind w:firstLine="430"/>
        <w:jc w:val="left"/>
        <w:rPr>
          <w:rFonts w:ascii="宋体" w:hAnsi="宋体"/>
          <w:color w:val="000000" w:themeColor="text1"/>
          <w:szCs w:val="21"/>
          <w:highlight w:val="none"/>
          <w14:textFill>
            <w14:solidFill>
              <w14:schemeClr w14:val="tx1"/>
            </w14:solidFill>
          </w14:textFill>
        </w:rPr>
      </w:pPr>
      <w:bookmarkStart w:id="2" w:name="_Toc12315"/>
      <w:bookmarkStart w:id="3" w:name="_Toc24523"/>
      <w:bookmarkStart w:id="4" w:name="_Toc7241"/>
      <w:r>
        <w:rPr>
          <w:rFonts w:hint="eastAsia" w:ascii="宋体" w:hAnsi="宋体"/>
          <w:color w:val="000000" w:themeColor="text1"/>
          <w:szCs w:val="21"/>
          <w:highlight w:val="none"/>
          <w14:textFill>
            <w14:solidFill>
              <w14:schemeClr w14:val="tx1"/>
            </w14:solidFill>
          </w14:textFill>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pPr>
        <w:widowControl/>
        <w:numPr>
          <w:ilvl w:val="0"/>
          <w:numId w:val="1"/>
        </w:numPr>
        <w:spacing w:line="360" w:lineRule="auto"/>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货物需求一览表</w:t>
      </w:r>
      <w:bookmarkEnd w:id="2"/>
      <w:bookmarkEnd w:id="3"/>
      <w:bookmarkEnd w:id="4"/>
    </w:p>
    <w:tbl>
      <w:tblPr>
        <w:tblStyle w:val="6"/>
        <w:tblW w:w="8629"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5782"/>
        <w:gridCol w:w="961"/>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807" w:type="dxa"/>
            <w:vAlign w:val="center"/>
          </w:tcPr>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5782" w:type="dxa"/>
            <w:tcBorders>
              <w:top w:val="single" w:color="auto" w:sz="4" w:space="0"/>
            </w:tcBorders>
            <w:vAlign w:val="center"/>
          </w:tcPr>
          <w:p>
            <w:pPr>
              <w:spacing w:line="360" w:lineRule="auto"/>
              <w:ind w:firstLine="2100" w:firstLineChars="10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w:t>
            </w:r>
          </w:p>
        </w:tc>
        <w:tc>
          <w:tcPr>
            <w:tcW w:w="961" w:type="dxa"/>
            <w:tcBorders>
              <w:top w:val="single" w:color="auto" w:sz="4" w:space="0"/>
            </w:tcBorders>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采购限价（元</w:t>
            </w:r>
            <w:r>
              <w:rPr>
                <w:rFonts w:hint="eastAsia" w:ascii="宋体" w:hAnsi="宋体" w:cs="宋体"/>
                <w:color w:val="000000" w:themeColor="text1"/>
                <w:szCs w:val="21"/>
                <w:highlight w:val="none"/>
                <w:lang w:eastAsia="zh-CN"/>
                <w14:textFill>
                  <w14:solidFill>
                    <w14:schemeClr w14:val="tx1"/>
                  </w14:solidFill>
                </w14:textFill>
              </w:rPr>
              <w:t>）</w:t>
            </w:r>
          </w:p>
        </w:tc>
        <w:tc>
          <w:tcPr>
            <w:tcW w:w="1079" w:type="dxa"/>
            <w:tcBorders>
              <w:top w:val="single" w:color="auto" w:sz="4" w:space="0"/>
            </w:tcBorders>
          </w:tcPr>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两年约使用量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07"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妇用凝胶敷料</w:t>
            </w:r>
          </w:p>
        </w:tc>
        <w:tc>
          <w:tcPr>
            <w:tcW w:w="5782" w:type="dxa"/>
            <w:vAlign w:val="center"/>
          </w:tcPr>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1、半透明、无浑浊及悬浮物的不定形水凝胶</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2、凝胶均匀透明或半透明水凝胶，色泽均匀，无不溶性异物，在常温时保持胶状，不干涸或液化。</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3、粘度：25Pa.s-45Pa.s</w:t>
            </w:r>
          </w:p>
          <w:p>
            <w:pPr>
              <w:widowControl/>
              <w:spacing w:line="240" w:lineRule="atLeast"/>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4、规格：3g/支</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一盒3支</w:t>
            </w:r>
          </w:p>
          <w:p>
            <w:pPr>
              <w:widowControl/>
              <w:spacing w:line="240" w:lineRule="atLeast"/>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5、配医用级聚丙烯（PP）材质阴道给药器，给药器表面应光滑、不应有毛剌、裂纹、污渍</w:t>
            </w:r>
            <w:r>
              <w:rPr>
                <w:rFonts w:hint="eastAsia" w:ascii="宋体" w:hAnsi="宋体" w:cs="宋体"/>
                <w:color w:val="000000" w:themeColor="text1"/>
                <w:szCs w:val="21"/>
                <w:highlight w:val="none"/>
                <w14:textFill>
                  <w14:solidFill>
                    <w14:schemeClr w14:val="tx1"/>
                  </w14:solidFill>
                </w14:textFill>
              </w:rPr>
              <w:t>、气泡及黑点；给药器推拉应顺畅，无明显阻滞现象。</w:t>
            </w:r>
          </w:p>
        </w:tc>
        <w:tc>
          <w:tcPr>
            <w:tcW w:w="961" w:type="dxa"/>
            <w:vAlign w:val="center"/>
          </w:tcPr>
          <w:p>
            <w:pPr>
              <w:spacing w:line="240" w:lineRule="exact"/>
              <w:jc w:val="center"/>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68</w:t>
            </w:r>
          </w:p>
        </w:tc>
        <w:tc>
          <w:tcPr>
            <w:tcW w:w="1079"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1500盒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07"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高效单体银妇用抗菌洗液</w:t>
            </w:r>
          </w:p>
        </w:tc>
        <w:tc>
          <w:tcPr>
            <w:tcW w:w="5782" w:type="dxa"/>
            <w:vAlign w:val="center"/>
          </w:tcPr>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1、具有广谱杀菌、消炎作用。</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2、对金黄色葡萄球菌、大肠杆菌、白色念珠球菌具有抑菌作用。</w:t>
            </w:r>
          </w:p>
          <w:p>
            <w:pPr>
              <w:widowControl/>
              <w:spacing w:line="240" w:lineRule="atLeast"/>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3、规格：200ml/瓶。</w:t>
            </w:r>
          </w:p>
        </w:tc>
        <w:tc>
          <w:tcPr>
            <w:tcW w:w="961" w:type="dxa"/>
            <w:vAlign w:val="center"/>
          </w:tcPr>
          <w:p>
            <w:pPr>
              <w:spacing w:line="240" w:lineRule="exact"/>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079"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240瓶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07"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一次性使用无菌阴道扩张器</w:t>
            </w:r>
          </w:p>
        </w:tc>
        <w:tc>
          <w:tcPr>
            <w:tcW w:w="5782" w:type="dxa"/>
            <w:vAlign w:val="center"/>
          </w:tcPr>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1、采用聚丙烯为主要原材料制成，主要由上叶、下叶和手柄组成。</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2、轴转式，如能符合本技术要求规定的要求，也可采用其他结构型式。</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3、规格：大号、中号、小号，无菌产品。</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4、扩张器在自然闭合状态时，上、下叶头端和左右偏移≤2 mm。</w:t>
            </w:r>
          </w:p>
          <w:p>
            <w:pPr>
              <w:widowControl/>
              <w:spacing w:line="240" w:lineRule="atLeas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5、扩张器扩张至最大档时，施加20N作用力,允许产生的变形量应≤30mm。</w:t>
            </w:r>
          </w:p>
          <w:p>
            <w:pPr>
              <w:widowControl/>
              <w:spacing w:line="240" w:lineRule="atLeast"/>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6、扩张器若采用环氧乙烷进行灭菌处理后,环氧乙烷的残留量应不大于10μg/g。</w:t>
            </w:r>
          </w:p>
        </w:tc>
        <w:tc>
          <w:tcPr>
            <w:tcW w:w="961" w:type="dxa"/>
            <w:vAlign w:val="center"/>
          </w:tcPr>
          <w:p>
            <w:pPr>
              <w:spacing w:line="240" w:lineRule="exact"/>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0.54</w:t>
            </w:r>
          </w:p>
        </w:tc>
        <w:tc>
          <w:tcPr>
            <w:tcW w:w="1079"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40000个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07"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一次性使用无菌阴道扩张器</w:t>
            </w:r>
          </w:p>
        </w:tc>
        <w:tc>
          <w:tcPr>
            <w:tcW w:w="5782" w:type="dxa"/>
            <w:vAlign w:val="center"/>
          </w:tcPr>
          <w:p>
            <w:pPr>
              <w:widowControl/>
              <w:spacing w:line="240" w:lineRule="exact"/>
              <w:jc w:val="left"/>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1、即毁式一次性使用无菌手术用阴道扩张器（宫腔镜手术用）</w:t>
            </w:r>
          </w:p>
          <w:p>
            <w:pPr>
              <w:widowControl/>
              <w:spacing w:line="240" w:lineRule="exact"/>
              <w:jc w:val="left"/>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2、大号产品宽度w≥32毫米。</w:t>
            </w:r>
          </w:p>
          <w:p>
            <w:pPr>
              <w:widowControl/>
              <w:spacing w:line="240" w:lineRule="exact"/>
              <w:jc w:val="left"/>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3、中号产品宽度w≥30毫米。</w:t>
            </w:r>
          </w:p>
          <w:p>
            <w:pPr>
              <w:widowControl/>
              <w:spacing w:line="240" w:lineRule="exact"/>
              <w:jc w:val="left"/>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4、有即毁性能</w:t>
            </w:r>
          </w:p>
          <w:p>
            <w:pPr>
              <w:widowControl/>
              <w:spacing w:line="240" w:lineRule="exact"/>
              <w:jc w:val="left"/>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5、推拉式，各规格型号</w:t>
            </w:r>
          </w:p>
        </w:tc>
        <w:tc>
          <w:tcPr>
            <w:tcW w:w="961" w:type="dxa"/>
            <w:vAlign w:val="center"/>
          </w:tcPr>
          <w:p>
            <w:pPr>
              <w:spacing w:line="240" w:lineRule="exact"/>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079" w:type="dxa"/>
            <w:vAlign w:val="center"/>
          </w:tcPr>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p>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360个</w:t>
            </w:r>
          </w:p>
          <w:p>
            <w:pPr>
              <w:pStyle w:val="8"/>
              <w:widowControl/>
              <w:spacing w:line="240" w:lineRule="exact"/>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629" w:type="dxa"/>
            <w:gridSpan w:val="4"/>
            <w:vAlign w:val="center"/>
          </w:tcPr>
          <w:p>
            <w:pPr>
              <w:widowControl/>
              <w:spacing w:line="240" w:lineRule="exact"/>
              <w:jc w:val="left"/>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1、投标人的投标文件必须标明所投货物的品牌与参数，保证原厂正品供货，提供相关资料等；</w:t>
            </w:r>
          </w:p>
          <w:p>
            <w:pPr>
              <w:widowControl/>
              <w:spacing w:line="240" w:lineRule="exact"/>
              <w:jc w:val="left"/>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2、本项目一次性规划，分步实施，按实结算；本项目耗材进入招标人SPD管理。服务期内如遇国家、省医保带量采购等相关政策调整，按国家、省医保带量采购等相关政策执行；</w:t>
            </w:r>
          </w:p>
          <w:p>
            <w:pPr>
              <w:widowControl/>
              <w:spacing w:line="240" w:lineRule="exact"/>
              <w:jc w:val="left"/>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投标人须承诺：（1）所投产品如有两票制要求则须执行两票制相关要求；（2）所投产品如安徽省医药集中采购中心有相关要求，则须执行安徽省医药集中采购中心相关要求。本项须提供承诺函加盖投标人公章；</w:t>
            </w:r>
          </w:p>
          <w:p>
            <w:pPr>
              <w:widowControl/>
              <w:spacing w:line="240" w:lineRule="exact"/>
              <w:jc w:val="left"/>
              <w:textAlignment w:val="center"/>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4、中标单价计算方式如下：最高限价（单价）×中标费率=</w:t>
            </w:r>
            <w:r>
              <w:rPr>
                <w:rFonts w:hint="eastAsia" w:ascii="宋体" w:hAnsi="宋体" w:cs="宋体"/>
                <w:bCs/>
                <w:color w:val="000000" w:themeColor="text1"/>
                <w:szCs w:val="21"/>
                <w:highlight w:val="none"/>
                <w:lang w:val="en-US" w:eastAsia="zh-CN"/>
                <w14:textFill>
                  <w14:solidFill>
                    <w14:schemeClr w14:val="tx1"/>
                  </w14:solidFill>
                </w14:textFill>
              </w:rPr>
              <w:t>供货价格（单价）</w:t>
            </w:r>
            <w:r>
              <w:rPr>
                <w:rFonts w:hint="eastAsia" w:ascii="宋体" w:hAnsi="宋体" w:cs="宋体"/>
                <w:bCs/>
                <w:color w:val="000000" w:themeColor="text1"/>
                <w:szCs w:val="21"/>
                <w:highlight w:val="none"/>
                <w:lang w:eastAsia="zh-CN"/>
                <w14:textFill>
                  <w14:solidFill>
                    <w14:schemeClr w14:val="tx1"/>
                  </w14:solidFill>
                </w14:textFill>
              </w:rPr>
              <w:t>，如所投产品的安徽省医药集中采购中心平台限价低于该项目最高限价（单价）则按平台限价（单价）×投标费率=供货价格（单价）。</w:t>
            </w:r>
          </w:p>
          <w:p>
            <w:pPr>
              <w:widowControl/>
              <w:spacing w:line="240" w:lineRule="exact"/>
              <w:jc w:val="left"/>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5、两年预估使用量仅代表医院过去2年使用估量，仅供投标人报价时参考。</w:t>
            </w:r>
          </w:p>
          <w:p>
            <w:pPr>
              <w:widowControl/>
              <w:spacing w:line="240" w:lineRule="exact"/>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本次采购最高投标费率：100%</w:t>
            </w:r>
          </w:p>
        </w:tc>
      </w:tr>
    </w:tbl>
    <w:p>
      <w:pPr>
        <w:widowControl/>
        <w:shd w:val="clear" w:color="auto" w:fill="FFFFFF"/>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二、质量要求：</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2.保证投标产品的质量，有效期的产品必须留有至少 80%的有效期。</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3.保证是原产地生产的原装产品，否则视为假冒伪劣</w:t>
      </w:r>
      <w:r>
        <w:rPr>
          <w:rFonts w:ascii="宋体" w:hAnsi="宋体" w:cs="宋体"/>
          <w:color w:val="000000" w:themeColor="text1"/>
          <w:szCs w:val="21"/>
          <w:highlight w:val="none"/>
          <w14:textFill>
            <w14:solidFill>
              <w14:schemeClr w14:val="tx1"/>
            </w14:solidFill>
          </w14:textFill>
        </w:rPr>
        <w:t>产品。</w:t>
      </w:r>
    </w:p>
    <w:p>
      <w:pPr>
        <w:pStyle w:val="9"/>
        <w:widowControl/>
        <w:numPr>
          <w:ilvl w:val="0"/>
          <w:numId w:val="2"/>
        </w:numPr>
        <w:shd w:val="clear" w:color="auto" w:fill="FFFFFF"/>
        <w:spacing w:line="360" w:lineRule="auto"/>
        <w:ind w:firstLineChars="0"/>
        <w:jc w:val="left"/>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w:t>
      </w:r>
    </w:p>
    <w:p>
      <w:pPr>
        <w:pStyle w:val="9"/>
        <w:widowControl/>
        <w:shd w:val="clear" w:color="auto" w:fill="FFFFFF"/>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自合同签订之日起两年或采购费用总额达到该包中标总价（两年约使用量*中标单价）时，以先到者为准，在供货期内按照采购人的要求分批供货，据实结算。</w:t>
      </w:r>
    </w:p>
    <w:p>
      <w:pPr>
        <w:spacing w:line="4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四、供货及售后要求</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1.投标人接到采购人供货通知，根据采购人通知的规格型号和数量按计划送货，按照采购人要求送至指定地点，负责运输。</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2.中标人根据采购人采购计划进行供货，不允许超计划供货，超出计划的数量，采购人不予验收入库，由中标人无条件带回。</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4.按采购人实际需求进行供货，中标人须无条件满足采购人需求，确保供货质量并及时供货。</w:t>
      </w:r>
    </w:p>
    <w:p>
      <w:pPr>
        <w:widowControl/>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五、验收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验收时采购人和中标人双方共同实施验收工作，验收合格后，结果和验收报告经双方确认后生效。</w:t>
      </w:r>
    </w:p>
    <w:p>
      <w:pPr>
        <w:widowControl/>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六、付款方式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0863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4"/>
    <w:qFormat/>
    <w:uiPriority w:val="0"/>
    <w:pPr>
      <w:spacing w:after="120"/>
      <w:textAlignment w:val="baseline"/>
    </w:pPr>
  </w:style>
  <w:style w:type="paragraph" w:customStyle="1" w:styleId="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
    <w:name w:val="HtmlNormal"/>
    <w:basedOn w:val="1"/>
    <w:qFormat/>
    <w:uiPriority w:val="0"/>
    <w:pPr>
      <w:spacing w:before="100" w:beforeAutospacing="1" w:after="100" w:afterAutospacing="1"/>
      <w:jc w:val="left"/>
      <w:textAlignment w:val="baseline"/>
    </w:pPr>
    <w:rPr>
      <w:rFonts w:ascii="Calibri" w:hAnsi="Calibri"/>
      <w:kern w:val="0"/>
      <w:sz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2023-10-31T10:35:39Z</dcterms:created>
  <dc:creator>0520</dc:creator>
  <cp:lastModifiedBy>WPS_1425723292</cp:lastModifiedBy>
  <dcterms:modified xsi:type="dcterms:W3CDTF">2023-10-31T10:35:56Z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E00F1E9BA0C345C5BF868E3388B0AD69_12</vt:lpwstr>
  </property>
</Properties>
</file>