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jc w:val="center"/>
        <w:rPr>
          <w:color w:val="auto"/>
        </w:rPr>
      </w:pPr>
      <w:bookmarkStart w:id="0" w:name="_Toc31958"/>
      <w:bookmarkStart w:id="1" w:name="_Toc2096"/>
      <w:r>
        <w:rPr>
          <w:rFonts w:hint="eastAsia"/>
          <w:color w:val="auto"/>
        </w:rPr>
        <w:t>货物需求及技术要求</w:t>
      </w:r>
      <w:bookmarkEnd w:id="0"/>
      <w:bookmarkEnd w:id="1"/>
    </w:p>
    <w:p>
      <w:pPr>
        <w:widowControl/>
        <w:spacing w:line="360" w:lineRule="auto"/>
        <w:ind w:firstLine="430"/>
        <w:jc w:val="left"/>
        <w:rPr>
          <w:rFonts w:ascii="宋体" w:hAnsi="宋体"/>
          <w:color w:val="auto"/>
          <w:szCs w:val="21"/>
        </w:rPr>
      </w:pPr>
      <w:bookmarkStart w:id="2" w:name="_Toc7241"/>
      <w:bookmarkStart w:id="3" w:name="_Toc24523"/>
      <w:bookmarkStart w:id="4" w:name="_Toc12315"/>
      <w:r>
        <w:rPr>
          <w:rFonts w:hint="eastAsia" w:ascii="宋体" w:hAnsi="宋体"/>
          <w:color w:val="auto"/>
          <w:szCs w:val="21"/>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pPr>
        <w:widowControl/>
        <w:numPr>
          <w:ilvl w:val="0"/>
          <w:numId w:val="1"/>
        </w:numPr>
        <w:spacing w:line="360" w:lineRule="auto"/>
        <w:jc w:val="left"/>
        <w:rPr>
          <w:b/>
          <w:bCs/>
          <w:color w:val="auto"/>
        </w:rPr>
      </w:pPr>
      <w:r>
        <w:rPr>
          <w:rFonts w:hint="eastAsia"/>
          <w:b/>
          <w:bCs/>
          <w:color w:val="auto"/>
        </w:rPr>
        <w:t>货物需求一览表</w:t>
      </w:r>
      <w:bookmarkEnd w:id="2"/>
      <w:bookmarkEnd w:id="3"/>
      <w:bookmarkEnd w:id="4"/>
    </w:p>
    <w:tbl>
      <w:tblPr>
        <w:tblStyle w:val="8"/>
        <w:tblW w:w="9382"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538"/>
        <w:gridCol w:w="1971"/>
        <w:gridCol w:w="1500"/>
        <w:gridCol w:w="2049"/>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731" w:type="dxa"/>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序号</w:t>
            </w:r>
          </w:p>
        </w:tc>
        <w:tc>
          <w:tcPr>
            <w:tcW w:w="153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名称</w:t>
            </w:r>
          </w:p>
        </w:tc>
        <w:tc>
          <w:tcPr>
            <w:tcW w:w="1971" w:type="dxa"/>
            <w:tcBorders>
              <w:top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kern w:val="0"/>
                <w:sz w:val="21"/>
                <w:szCs w:val="21"/>
                <w:lang w:val="en-US" w:eastAsia="zh-CN"/>
              </w:rPr>
              <w:t>规格</w:t>
            </w:r>
          </w:p>
        </w:tc>
        <w:tc>
          <w:tcPr>
            <w:tcW w:w="150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kern w:val="0"/>
                <w:sz w:val="21"/>
                <w:szCs w:val="21"/>
                <w:lang w:val="en-US" w:eastAsia="zh-CN"/>
              </w:rPr>
              <w:t>两年预估量</w:t>
            </w:r>
          </w:p>
        </w:tc>
        <w:tc>
          <w:tcPr>
            <w:tcW w:w="204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kern w:val="0"/>
                <w:sz w:val="21"/>
                <w:szCs w:val="21"/>
                <w:highlight w:val="none"/>
                <w:lang w:val="en-US" w:eastAsia="zh-CN"/>
              </w:rPr>
              <w:t>单位</w:t>
            </w:r>
          </w:p>
        </w:tc>
        <w:tc>
          <w:tcPr>
            <w:tcW w:w="159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auto"/>
                <w:szCs w:val="21"/>
              </w:rPr>
            </w:pPr>
            <w:r>
              <w:rPr>
                <w:rFonts w:hint="eastAsia" w:ascii="宋体" w:hAnsi="宋体" w:eastAsia="宋体" w:cs="宋体"/>
                <w:color w:val="auto"/>
                <w:kern w:val="0"/>
                <w:sz w:val="21"/>
                <w:szCs w:val="21"/>
                <w:lang w:val="en-US" w:eastAsia="zh-CN"/>
              </w:rPr>
              <w:t>最高投标限价（单价/元）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73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1538"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全自动</w:t>
            </w:r>
            <w:r>
              <w:rPr>
                <w:rFonts w:hint="eastAsia" w:ascii="宋体" w:hAnsi="宋体" w:eastAsia="宋体" w:cs="Times New Roman"/>
                <w:color w:val="auto"/>
                <w:kern w:val="2"/>
                <w:sz w:val="21"/>
                <w:szCs w:val="21"/>
                <w:lang w:val="en-US" w:eastAsia="zh-CN" w:bidi="ar-SA"/>
              </w:rPr>
              <w:t>染片</w:t>
            </w:r>
            <w:r>
              <w:rPr>
                <w:rFonts w:hint="eastAsia" w:ascii="宋体" w:hAnsi="宋体" w:cs="Times New Roman"/>
                <w:color w:val="auto"/>
                <w:kern w:val="2"/>
                <w:sz w:val="21"/>
                <w:szCs w:val="21"/>
                <w:lang w:val="en-US" w:eastAsia="zh-CN" w:bidi="ar-SA"/>
              </w:rPr>
              <w:t>机</w:t>
            </w:r>
          </w:p>
        </w:tc>
        <w:tc>
          <w:tcPr>
            <w:tcW w:w="1971" w:type="dxa"/>
            <w:vAlign w:val="center"/>
          </w:tcPr>
          <w:p>
            <w:pPr>
              <w:spacing w:line="360" w:lineRule="auto"/>
              <w:jc w:val="center"/>
              <w:rPr>
                <w:rFonts w:ascii="宋体" w:hAnsi="宋体" w:cs="宋体"/>
                <w:color w:val="auto"/>
                <w:szCs w:val="21"/>
              </w:rPr>
            </w:pPr>
          </w:p>
          <w:p>
            <w:pPr>
              <w:spacing w:line="360" w:lineRule="auto"/>
              <w:jc w:val="center"/>
              <w:rPr>
                <w:rFonts w:ascii="宋体" w:hAnsi="宋体" w:cs="宋体"/>
                <w:color w:val="auto"/>
                <w:szCs w:val="21"/>
              </w:rPr>
            </w:pPr>
          </w:p>
        </w:tc>
        <w:tc>
          <w:tcPr>
            <w:tcW w:w="150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w:t>
            </w:r>
          </w:p>
        </w:tc>
        <w:tc>
          <w:tcPr>
            <w:tcW w:w="2049" w:type="dxa"/>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台</w:t>
            </w:r>
          </w:p>
        </w:tc>
        <w:tc>
          <w:tcPr>
            <w:tcW w:w="1593"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731" w:type="dxa"/>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538" w:type="dxa"/>
            <w:vAlign w:val="center"/>
          </w:tcPr>
          <w:p>
            <w:pPr>
              <w:spacing w:line="360" w:lineRule="auto"/>
              <w:jc w:val="center"/>
              <w:rPr>
                <w:rFonts w:hint="default" w:ascii="宋体" w:hAnsi="宋体" w:cs="宋体"/>
                <w:color w:val="auto"/>
                <w:szCs w:val="21"/>
                <w:lang w:val="en-US"/>
              </w:rPr>
            </w:pPr>
            <w:r>
              <w:rPr>
                <w:rFonts w:hint="eastAsia" w:ascii="宋体" w:hAnsi="宋体" w:eastAsia="宋体" w:cs="Times New Roman"/>
                <w:color w:val="auto"/>
                <w:kern w:val="2"/>
                <w:sz w:val="21"/>
                <w:szCs w:val="21"/>
                <w:lang w:val="en-US" w:eastAsia="zh-CN" w:bidi="ar-SA"/>
              </w:rPr>
              <w:t>革兰氏染色</w:t>
            </w:r>
            <w:r>
              <w:rPr>
                <w:rFonts w:hint="eastAsia" w:ascii="宋体" w:hAnsi="宋体" w:cs="Times New Roman"/>
                <w:color w:val="auto"/>
                <w:kern w:val="2"/>
                <w:sz w:val="21"/>
                <w:szCs w:val="21"/>
                <w:lang w:val="en-US" w:eastAsia="zh-CN" w:bidi="ar-SA"/>
              </w:rPr>
              <w:t>液</w:t>
            </w:r>
          </w:p>
        </w:tc>
        <w:tc>
          <w:tcPr>
            <w:tcW w:w="1971"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5*1000ML</w:t>
            </w:r>
          </w:p>
        </w:tc>
        <w:tc>
          <w:tcPr>
            <w:tcW w:w="150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24</w:t>
            </w:r>
          </w:p>
        </w:tc>
        <w:tc>
          <w:tcPr>
            <w:tcW w:w="2049"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套</w:t>
            </w:r>
          </w:p>
        </w:tc>
        <w:tc>
          <w:tcPr>
            <w:tcW w:w="1593"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731" w:type="dxa"/>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538" w:type="dxa"/>
            <w:vAlign w:val="center"/>
          </w:tcPr>
          <w:p>
            <w:pPr>
              <w:spacing w:line="360" w:lineRule="auto"/>
              <w:jc w:val="center"/>
              <w:rPr>
                <w:rFonts w:hint="default" w:ascii="宋体" w:hAnsi="宋体" w:cs="宋体"/>
                <w:color w:val="auto"/>
                <w:szCs w:val="21"/>
                <w:lang w:val="en-US"/>
              </w:rPr>
            </w:pPr>
            <w:r>
              <w:rPr>
                <w:rFonts w:hint="eastAsia" w:ascii="宋体" w:hAnsi="宋体" w:eastAsia="宋体" w:cs="Times New Roman"/>
                <w:color w:val="auto"/>
                <w:kern w:val="2"/>
                <w:sz w:val="21"/>
                <w:szCs w:val="21"/>
                <w:lang w:val="en-US" w:eastAsia="zh-CN" w:bidi="ar-SA"/>
              </w:rPr>
              <w:t>抗酸染色</w:t>
            </w:r>
            <w:r>
              <w:rPr>
                <w:rFonts w:hint="eastAsia" w:ascii="宋体" w:hAnsi="宋体" w:cs="Times New Roman"/>
                <w:color w:val="auto"/>
                <w:kern w:val="2"/>
                <w:sz w:val="21"/>
                <w:szCs w:val="21"/>
                <w:lang w:val="en-US" w:eastAsia="zh-CN" w:bidi="ar-SA"/>
              </w:rPr>
              <w:t>液</w:t>
            </w:r>
          </w:p>
        </w:tc>
        <w:tc>
          <w:tcPr>
            <w:tcW w:w="1971" w:type="dxa"/>
            <w:vAlign w:val="center"/>
          </w:tcPr>
          <w:p>
            <w:pPr>
              <w:spacing w:line="360" w:lineRule="auto"/>
              <w:jc w:val="center"/>
              <w:rPr>
                <w:rFonts w:ascii="宋体" w:hAnsi="宋体" w:cs="宋体"/>
                <w:color w:val="auto"/>
                <w:szCs w:val="21"/>
              </w:rPr>
            </w:pPr>
            <w:r>
              <w:rPr>
                <w:rFonts w:hint="eastAsia" w:ascii="宋体" w:hAnsi="宋体" w:cs="宋体"/>
                <w:color w:val="auto"/>
                <w:szCs w:val="21"/>
                <w:lang w:val="en-US" w:eastAsia="zh-CN"/>
              </w:rPr>
              <w:t>4*1000ML</w:t>
            </w:r>
          </w:p>
        </w:tc>
        <w:tc>
          <w:tcPr>
            <w:tcW w:w="150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w:t>
            </w:r>
          </w:p>
        </w:tc>
        <w:tc>
          <w:tcPr>
            <w:tcW w:w="2049" w:type="dxa"/>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套</w:t>
            </w:r>
          </w:p>
        </w:tc>
        <w:tc>
          <w:tcPr>
            <w:tcW w:w="1593"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731" w:type="dxa"/>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538"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真菌免疫荧光显色试剂</w:t>
            </w:r>
          </w:p>
        </w:tc>
        <w:tc>
          <w:tcPr>
            <w:tcW w:w="1971"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100测试</w:t>
            </w:r>
          </w:p>
        </w:tc>
        <w:tc>
          <w:tcPr>
            <w:tcW w:w="150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5</w:t>
            </w:r>
          </w:p>
        </w:tc>
        <w:tc>
          <w:tcPr>
            <w:tcW w:w="2049" w:type="dxa"/>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盒</w:t>
            </w:r>
          </w:p>
        </w:tc>
        <w:tc>
          <w:tcPr>
            <w:tcW w:w="1593"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382"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rPr>
              <w:t>说明：</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rPr>
              <w:t>1、投标人的投标文件必须标明所投货物的品牌与参数，保证原厂正品供货，提供相关资料等；</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rPr>
              <w:t>2、本项目一次性规划，分步实施</w:t>
            </w:r>
            <w:r>
              <w:rPr>
                <w:rFonts w:hint="eastAsia" w:eastAsia="宋体" w:cs="Times New Roman"/>
                <w:b/>
                <w:bCs/>
                <w:color w:val="auto"/>
                <w:lang w:eastAsia="zh-CN"/>
              </w:rPr>
              <w:t>，按实结算</w:t>
            </w:r>
            <w:r>
              <w:rPr>
                <w:rFonts w:hint="eastAsia" w:eastAsia="宋体" w:cs="Times New Roman"/>
                <w:b/>
                <w:bCs/>
                <w:color w:val="auto"/>
              </w:rPr>
              <w:t>。本项目耗材进入</w:t>
            </w:r>
            <w:r>
              <w:rPr>
                <w:rFonts w:hint="eastAsia" w:cs="Times New Roman"/>
                <w:b/>
                <w:bCs/>
                <w:color w:val="auto"/>
                <w:lang w:eastAsia="zh-CN"/>
              </w:rPr>
              <w:t>采购</w:t>
            </w:r>
            <w:r>
              <w:rPr>
                <w:rFonts w:hint="eastAsia" w:eastAsia="宋体" w:cs="Times New Roman"/>
                <w:b/>
                <w:bCs/>
                <w:color w:val="auto"/>
              </w:rPr>
              <w:t>人SPD管理。服务期内如遇国家、省医保带量采购等相关政策调整，按国家、省医保带量采购等相关政策执行；</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highlight w:val="none"/>
              </w:rPr>
            </w:pPr>
            <w:r>
              <w:rPr>
                <w:rFonts w:hint="eastAsia" w:eastAsia="宋体" w:cs="Times New Roman"/>
                <w:b/>
                <w:bCs/>
                <w:color w:val="auto"/>
                <w:highlight w:val="none"/>
              </w:rPr>
              <w:t>3、供货周期：</w:t>
            </w:r>
            <w:r>
              <w:rPr>
                <w:rFonts w:hint="eastAsia" w:eastAsia="宋体" w:cs="Times New Roman"/>
                <w:b/>
                <w:bCs/>
                <w:color w:val="auto"/>
                <w:highlight w:val="none"/>
                <w:lang w:eastAsia="zh-CN"/>
              </w:rPr>
              <w:t>合同签订生效后两年或采购费用总额达到该包总投标价（预算金额×投标费率）时，以先到者为准，在供货期内按照采购人的要求分批供货，据实结算</w:t>
            </w:r>
            <w:r>
              <w:rPr>
                <w:rFonts w:hint="eastAsia" w:eastAsia="宋体" w:cs="Times New Roman"/>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highlight w:val="none"/>
                <w:lang w:eastAsia="zh-CN"/>
              </w:rPr>
            </w:pPr>
            <w:r>
              <w:rPr>
                <w:rFonts w:hint="eastAsia" w:eastAsia="宋体" w:cs="Times New Roman"/>
                <w:b/>
                <w:bCs/>
                <w:color w:val="auto"/>
                <w:highlight w:val="none"/>
              </w:rPr>
              <w:t>4、投标人须承诺：（1）</w:t>
            </w:r>
            <w:r>
              <w:rPr>
                <w:rFonts w:hint="eastAsia" w:eastAsia="宋体" w:cs="Times New Roman"/>
                <w:b/>
                <w:bCs/>
                <w:color w:val="auto"/>
                <w:highlight w:val="none"/>
                <w:lang w:eastAsia="zh-CN"/>
              </w:rPr>
              <w:t>所投产品</w:t>
            </w:r>
            <w:r>
              <w:rPr>
                <w:rFonts w:hint="eastAsia" w:eastAsia="宋体" w:cs="Times New Roman"/>
                <w:b/>
                <w:bCs/>
                <w:color w:val="auto"/>
                <w:highlight w:val="none"/>
              </w:rPr>
              <w:t>如有两票制要求则须执行两票制相关要求；（2）</w:t>
            </w:r>
            <w:r>
              <w:rPr>
                <w:rFonts w:hint="eastAsia" w:eastAsia="宋体" w:cs="Times New Roman"/>
                <w:b/>
                <w:bCs/>
                <w:color w:val="auto"/>
                <w:highlight w:val="none"/>
                <w:lang w:eastAsia="zh-CN"/>
              </w:rPr>
              <w:t>所投产品</w:t>
            </w:r>
            <w:r>
              <w:rPr>
                <w:rFonts w:hint="eastAsia" w:eastAsia="宋体" w:cs="Times New Roman"/>
                <w:b/>
                <w:bCs/>
                <w:color w:val="auto"/>
                <w:highlight w:val="none"/>
              </w:rPr>
              <w:t>如安徽省医药集中采购中心有相关要求，则须执行安徽省医药集中采购中心相关要求。本项须提供承诺函加盖投标人公章；</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lang w:val="en-US" w:eastAsia="zh-CN"/>
              </w:rPr>
            </w:pPr>
            <w:r>
              <w:rPr>
                <w:rFonts w:hint="eastAsia" w:eastAsia="宋体" w:cs="Times New Roman"/>
                <w:b/>
                <w:bCs/>
                <w:color w:val="auto"/>
                <w:lang w:val="en-US" w:eastAsia="zh-CN"/>
              </w:rPr>
              <w:t>5、</w:t>
            </w:r>
            <w:r>
              <w:rPr>
                <w:rFonts w:hint="eastAsia" w:ascii="宋体" w:hAnsi="宋体" w:eastAsia="宋体" w:cs="Times New Roman"/>
                <w:b/>
                <w:color w:val="auto"/>
                <w:szCs w:val="21"/>
                <w:highlight w:val="none"/>
                <w:lang w:val="en-US" w:eastAsia="zh-CN"/>
              </w:rPr>
              <w:t>投标人须在投标文件中</w:t>
            </w:r>
            <w:r>
              <w:rPr>
                <w:rFonts w:hint="eastAsia" w:ascii="宋体" w:hAnsi="宋体" w:eastAsia="宋体" w:cs="Times New Roman"/>
                <w:b/>
                <w:color w:val="auto"/>
                <w:szCs w:val="21"/>
                <w:highlight w:val="none"/>
              </w:rPr>
              <w:t>提供标★项</w:t>
            </w:r>
            <w:r>
              <w:rPr>
                <w:rFonts w:hint="eastAsia" w:ascii="宋体" w:hAnsi="宋体" w:eastAsia="宋体" w:cs="Times New Roman"/>
                <w:b/>
                <w:color w:val="auto"/>
                <w:szCs w:val="21"/>
                <w:highlight w:val="none"/>
                <w:lang w:val="en-US" w:eastAsia="zh-CN"/>
              </w:rPr>
              <w:t>技术参数的</w:t>
            </w:r>
            <w:r>
              <w:rPr>
                <w:rFonts w:hint="eastAsia" w:ascii="宋体" w:hAnsi="宋体" w:eastAsia="宋体" w:cs="Times New Roman"/>
                <w:b/>
                <w:color w:val="auto"/>
                <w:szCs w:val="21"/>
                <w:highlight w:val="none"/>
              </w:rPr>
              <w:t>技术证明文件之一（</w:t>
            </w:r>
            <w:r>
              <w:rPr>
                <w:rFonts w:hint="eastAsia" w:eastAsia="宋体" w:cs="Times New Roman"/>
                <w:b/>
                <w:color w:val="auto"/>
                <w:highlight w:val="none"/>
              </w:rPr>
              <w:t>医</w:t>
            </w:r>
            <w:r>
              <w:rPr>
                <w:rFonts w:hint="eastAsia" w:ascii="宋体" w:hAnsi="宋体" w:eastAsia="宋体" w:cs="Times New Roman"/>
                <w:b/>
                <w:color w:val="auto"/>
                <w:szCs w:val="21"/>
                <w:highlight w:val="none"/>
              </w:rPr>
              <w:t>疗器械注册证、医疗器械注册登记表、第三方检测报告、</w:t>
            </w:r>
            <w:r>
              <w:rPr>
                <w:rFonts w:hint="eastAsia" w:ascii="宋体" w:hAnsi="宋体" w:eastAsia="宋体" w:cs="Times New Roman"/>
                <w:b/>
                <w:color w:val="auto"/>
                <w:szCs w:val="21"/>
                <w:highlight w:val="none"/>
                <w:lang w:eastAsia="zh-CN"/>
              </w:rPr>
              <w:t>产品技术白皮书</w:t>
            </w:r>
            <w:r>
              <w:rPr>
                <w:rFonts w:hint="eastAsia" w:ascii="宋体" w:hAnsi="宋体" w:eastAsia="宋体" w:cs="Times New Roman"/>
                <w:b/>
                <w:color w:val="auto"/>
                <w:szCs w:val="21"/>
                <w:highlight w:val="none"/>
              </w:rPr>
              <w:t>、产品使用说明书）予以证明</w:t>
            </w:r>
            <w:r>
              <w:rPr>
                <w:rFonts w:hint="eastAsia" w:ascii="宋体" w:hAnsi="宋体" w:eastAsia="宋体" w:cs="Times New Roman"/>
                <w:b/>
                <w:color w:val="auto"/>
                <w:szCs w:val="21"/>
                <w:highlight w:val="none"/>
                <w:lang w:val="en-US" w:eastAsia="zh-CN"/>
              </w:rPr>
              <w:t>。</w:t>
            </w:r>
            <w:r>
              <w:rPr>
                <w:rFonts w:hint="eastAsia" w:eastAsia="宋体" w:cs="Times New Roman"/>
                <w:color w:val="auto"/>
                <w:highlight w:val="none"/>
              </w:rPr>
              <w:t>投标人的投标文件中提供的相关技术证明文件（医疗器械注册证、医疗器械注册登记表、第三方检测报告、产</w:t>
            </w:r>
            <w:r>
              <w:rPr>
                <w:rFonts w:hint="eastAsia" w:eastAsia="宋体" w:cs="Times New Roman"/>
                <w:color w:val="auto"/>
              </w:rPr>
              <w:t>品技术白皮书、产品使用说明书）中关于同一技术参数的表述不一致时，相关技术证明文件的效力由高到低顺序依次为医疗器械注册证、医疗器械注册登记表、第三方检测报告、</w:t>
            </w:r>
            <w:r>
              <w:rPr>
                <w:rFonts w:hint="eastAsia" w:eastAsia="宋体" w:cs="Times New Roman"/>
                <w:color w:val="auto"/>
                <w:lang w:eastAsia="zh-CN"/>
              </w:rPr>
              <w:t>产品技术白皮书</w:t>
            </w:r>
            <w:r>
              <w:rPr>
                <w:rFonts w:hint="eastAsia" w:eastAsia="宋体" w:cs="Times New Roman"/>
                <w:color w:val="auto"/>
              </w:rPr>
              <w:t>、产品使用说明书</w:t>
            </w:r>
            <w:r>
              <w:rPr>
                <w:rFonts w:hint="eastAsia" w:eastAsia="宋体" w:cs="Times New Roman"/>
                <w:b/>
                <w:bCs/>
                <w:color w:val="auto"/>
                <w:lang w:val="en-US" w:eastAsia="zh-CN"/>
              </w:rPr>
              <w:t>。若中标人未在</w:t>
            </w:r>
            <w:r>
              <w:rPr>
                <w:rFonts w:hint="eastAsia" w:cs="Times New Roman"/>
                <w:b/>
                <w:bCs/>
                <w:color w:val="auto"/>
                <w:lang w:val="en-US" w:eastAsia="zh-CN"/>
              </w:rPr>
              <w:t>采购</w:t>
            </w:r>
            <w:r>
              <w:rPr>
                <w:rFonts w:hint="eastAsia" w:eastAsia="宋体" w:cs="Times New Roman"/>
                <w:b/>
                <w:bCs/>
                <w:color w:val="auto"/>
                <w:lang w:val="en-US" w:eastAsia="zh-CN"/>
              </w:rPr>
              <w:t>文件要求的期限内提供相关技术证明文件或中标人提供的相关技术证明文件不能完全符合</w:t>
            </w:r>
            <w:r>
              <w:rPr>
                <w:rFonts w:hint="eastAsia" w:cs="Times New Roman"/>
                <w:b/>
                <w:bCs/>
                <w:color w:val="auto"/>
                <w:lang w:val="en-US" w:eastAsia="zh-CN"/>
              </w:rPr>
              <w:t>采购</w:t>
            </w:r>
            <w:r>
              <w:rPr>
                <w:rFonts w:hint="eastAsia" w:eastAsia="宋体" w:cs="Times New Roman"/>
                <w:b/>
                <w:bCs/>
                <w:color w:val="auto"/>
                <w:lang w:val="en-US" w:eastAsia="zh-CN"/>
              </w:rPr>
              <w:t>文件要求，则视为虚假响应。</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lang w:val="en-US" w:eastAsia="zh-CN"/>
              </w:rPr>
              <w:t>6</w:t>
            </w:r>
            <w:r>
              <w:rPr>
                <w:rFonts w:hint="eastAsia" w:eastAsia="宋体" w:cs="Times New Roman"/>
                <w:b/>
                <w:bCs/>
                <w:color w:val="auto"/>
              </w:rPr>
              <w:t>、中标人供货价格计算方式如下：</w:t>
            </w:r>
            <w:r>
              <w:rPr>
                <w:rFonts w:hint="eastAsia" w:eastAsia="宋体" w:cs="Times New Roman"/>
                <w:b/>
                <w:bCs/>
                <w:color w:val="auto"/>
                <w:lang w:eastAsia="zh-CN"/>
              </w:rPr>
              <w:t>最高限价（单价）×投标费率=供货价格（单价）（如所投产品的安徽省医药集中采购中心平台限价低于该项目最高限价（单价）则按平台限价（单价）×投标费率=供货价格（单价）</w:t>
            </w:r>
          </w:p>
          <w:p>
            <w:pPr>
              <w:keepNext w:val="0"/>
              <w:keepLines w:val="0"/>
              <w:pageBreakBefore w:val="0"/>
              <w:widowControl w:val="0"/>
              <w:kinsoku/>
              <w:wordWrap/>
              <w:overflowPunct/>
              <w:topLinePunct w:val="0"/>
              <w:autoSpaceDE/>
              <w:autoSpaceDN/>
              <w:bidi w:val="0"/>
              <w:adjustRightInd/>
              <w:snapToGrid/>
              <w:spacing w:line="400" w:lineRule="exact"/>
              <w:rPr>
                <w:rFonts w:ascii="宋体" w:hAnsi="宋体" w:cs="宋体"/>
                <w:color w:val="auto"/>
                <w:szCs w:val="21"/>
              </w:rPr>
            </w:pPr>
            <w:r>
              <w:rPr>
                <w:rFonts w:hint="eastAsia" w:eastAsia="宋体" w:cs="Times New Roman"/>
                <w:b/>
                <w:bCs/>
                <w:color w:val="auto"/>
                <w:lang w:val="en-US" w:eastAsia="zh-CN"/>
              </w:rPr>
              <w:t>7</w:t>
            </w:r>
            <w:r>
              <w:rPr>
                <w:rFonts w:hint="eastAsia" w:eastAsia="宋体" w:cs="Times New Roman"/>
                <w:b/>
                <w:bCs/>
                <w:color w:val="auto"/>
              </w:rPr>
              <w:t>、两年预估使用量仅代表医院过去2年使用估量，仅供投标人报价时参考。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rPr>
          <w:rFonts w:ascii="宋体" w:hAnsi="宋体" w:cs="宋体"/>
          <w:color w:val="auto"/>
          <w:szCs w:val="21"/>
        </w:rPr>
      </w:pPr>
      <w:r>
        <w:rPr>
          <w:rFonts w:hint="eastAsia" w:ascii="宋体" w:hAnsi="宋体" w:cs="宋体"/>
          <w:b/>
          <w:color w:val="auto"/>
          <w:szCs w:val="21"/>
          <w:highlight w:val="none"/>
          <w:lang w:val="en-US" w:eastAsia="zh-CN"/>
        </w:rPr>
        <w:t>二、技术参数</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1.染片量及染色速度：一次性染片量不少于14片，革兰氏染色每小时不少于80片，抗酸染色每小时不少于60片。</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s="宋体"/>
          <w:bCs/>
          <w:color w:val="auto"/>
          <w:szCs w:val="21"/>
          <w:lang w:val="en-US" w:eastAsia="zh-CN"/>
        </w:rPr>
        <w:t>染色模式：非喷染式原理，避免染液杂质及残留形成堵孔，减少维护频率及更换喷头费用。</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3.</w:t>
      </w:r>
      <w:r>
        <w:rPr>
          <w:rFonts w:hint="eastAsia" w:ascii="宋体" w:hAnsi="宋体" w:cs="宋体"/>
          <w:bCs/>
          <w:color w:val="auto"/>
          <w:szCs w:val="21"/>
        </w:rPr>
        <w:t>★</w:t>
      </w:r>
      <w:r>
        <w:rPr>
          <w:rFonts w:hint="eastAsia" w:ascii="宋体" w:hAnsi="宋体" w:cs="宋体"/>
          <w:bCs/>
          <w:color w:val="auto"/>
          <w:szCs w:val="21"/>
          <w:lang w:val="en-US" w:eastAsia="zh-CN"/>
        </w:rPr>
        <w:t>加热功能：染色机采用染色液直接加温法，染液温度不低于60度，满足热染需求。</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4.</w:t>
      </w:r>
      <w:r>
        <w:rPr>
          <w:rFonts w:hint="eastAsia" w:ascii="宋体" w:hAnsi="宋体" w:cs="宋体"/>
          <w:bCs/>
          <w:color w:val="auto"/>
          <w:szCs w:val="21"/>
        </w:rPr>
        <w:t>★</w:t>
      </w:r>
      <w:r>
        <w:rPr>
          <w:rFonts w:hint="eastAsia" w:ascii="宋体" w:hAnsi="宋体" w:cs="宋体"/>
          <w:bCs/>
          <w:color w:val="auto"/>
          <w:szCs w:val="21"/>
          <w:lang w:val="en-US" w:eastAsia="zh-CN"/>
        </w:rPr>
        <w:t>内置水平仪：用于调整设备安装的水平和垂直位置，确保离心时仪器处于安全状态。</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5.试剂组成：革兰氏为经典四步法操作，抗酸染色为三步法，可选配冷染法、萋尼氏法、荧光金胺O法。</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6.报警系统：仪器配套独立液量报警模块（非一体式结构设计），可根据场地调整摆放，避免试剂量不足影响染色效果，具备相应试剂位故障提示功能，直接屏幕提醒试剂位方便检查维护。</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7.日常维护：染色机带有自动清洗功能，搭配专用清洗液，具有清洗管路和杀菌作用。</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8.</w:t>
      </w:r>
      <w:r>
        <w:rPr>
          <w:rFonts w:hint="eastAsia" w:ascii="宋体" w:hAnsi="宋体" w:cs="宋体"/>
          <w:bCs/>
          <w:color w:val="auto"/>
          <w:szCs w:val="21"/>
        </w:rPr>
        <w:t>★</w:t>
      </w:r>
      <w:r>
        <w:rPr>
          <w:rFonts w:hint="eastAsia" w:ascii="宋体" w:hAnsi="宋体" w:cs="宋体"/>
          <w:bCs/>
          <w:color w:val="auto"/>
          <w:szCs w:val="21"/>
          <w:lang w:val="en-US" w:eastAsia="zh-CN"/>
        </w:rPr>
        <w:t>质控：随机提供染色用玻片，用于仪器染色效果评估以及性能验证。</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9.</w:t>
      </w:r>
      <w:r>
        <w:rPr>
          <w:rFonts w:hint="eastAsia" w:ascii="宋体" w:hAnsi="宋体" w:cs="宋体"/>
          <w:bCs/>
          <w:color w:val="auto"/>
          <w:szCs w:val="21"/>
        </w:rPr>
        <w:t>★</w:t>
      </w:r>
      <w:r>
        <w:rPr>
          <w:rFonts w:hint="eastAsia" w:ascii="宋体" w:hAnsi="宋体" w:cs="宋体"/>
          <w:bCs/>
          <w:color w:val="auto"/>
          <w:szCs w:val="21"/>
          <w:lang w:val="en-US" w:eastAsia="zh-CN"/>
        </w:rPr>
        <w:t>通用性要求：无需专用玻片或专用玻片装置，直接将玻片水平放置在托盘上即可。</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10仪器和染色液耗材要为同一品牌。</w:t>
      </w:r>
    </w:p>
    <w:p>
      <w:pPr>
        <w:spacing w:line="360" w:lineRule="auto"/>
        <w:ind w:firstLine="422" w:firstLineChars="200"/>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三、质量要求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文件和</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投标文件所要求的技术标准。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保证是原产地生产的原装产品</w:t>
      </w:r>
      <w:r>
        <w:rPr>
          <w:rFonts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lang w:val="en-GB" w:eastAsia="zh-CN"/>
        </w:rPr>
        <w:t>交货地点：</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需求送至指定地点。</w:t>
      </w:r>
    </w:p>
    <w:p>
      <w:pPr>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五、供货、保修及售后要求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1.货物质量:中标人提供的货物必须是全新、原装、合格正品，完全符合国家规定的质量标准和厂方的标准。货物完好，配件齐全。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2.保修及售后服务:依据商品的保修条款及售后服务条款，提供原厂质保，质保期按照国家规定，且不低于所供品牌向用户承诺的质保期限。</w:t>
      </w:r>
      <w:r>
        <w:rPr>
          <w:rFonts w:hint="eastAsia" w:ascii="宋体" w:hAnsi="宋体" w:cs="宋体"/>
          <w:color w:val="auto"/>
          <w:szCs w:val="21"/>
          <w:highlight w:val="none"/>
          <w:lang w:eastAsia="zh-CN"/>
        </w:rPr>
        <w:t>采购</w:t>
      </w:r>
      <w:bookmarkStart w:id="5" w:name="_GoBack"/>
      <w:bookmarkEnd w:id="5"/>
      <w:r>
        <w:rPr>
          <w:rFonts w:hint="eastAsia" w:ascii="宋体" w:hAnsi="宋体" w:cs="宋体"/>
          <w:color w:val="auto"/>
          <w:szCs w:val="21"/>
          <w:highlight w:val="none"/>
        </w:rPr>
        <w:t>文件另有约定的从其约定。质保期从货物验收合格后算起。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3.质保期内设备故障要求1小时内应答， 2小时形成解决方案。逾期甲方可自行组织维修，费用由乙方承担。</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lang w:val="en-US" w:eastAsia="zh-CN"/>
        </w:rPr>
        <w:t>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货物到达现场后，由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组织首次验收，</w:t>
      </w:r>
      <w:r>
        <w:rPr>
          <w:rFonts w:hint="eastAsia" w:ascii="宋体" w:hAnsi="宋体" w:eastAsia="宋体" w:cs="宋体"/>
          <w:color w:val="auto"/>
          <w:szCs w:val="21"/>
          <w:highlight w:val="none"/>
          <w:lang w:val="en-US"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必须向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提供厂家出具的合格证明、供货证明和质量检验证书。到货后，若</w:t>
      </w:r>
      <w:r>
        <w:rPr>
          <w:rFonts w:hint="eastAsia" w:ascii="宋体" w:hAnsi="宋体" w:eastAsia="宋体" w:cs="宋体"/>
          <w:color w:val="auto"/>
          <w:szCs w:val="21"/>
          <w:highlight w:val="none"/>
          <w:lang w:val="en-US"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提供的产品不符合技术参</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数要求和国家标准。</w:t>
      </w:r>
      <w:r>
        <w:rPr>
          <w:rFonts w:hint="eastAsia" w:ascii="宋体" w:hAnsi="宋体" w:eastAsia="宋体" w:cs="宋体"/>
          <w:color w:val="auto"/>
          <w:szCs w:val="21"/>
          <w:highlight w:val="none"/>
          <w:lang w:val="en-US" w:eastAsia="zh-CN"/>
        </w:rPr>
        <w:t>院方</w:t>
      </w:r>
      <w:r>
        <w:rPr>
          <w:rFonts w:hint="eastAsia" w:ascii="宋体" w:hAnsi="宋体" w:eastAsia="宋体" w:cs="宋体"/>
          <w:color w:val="auto"/>
          <w:szCs w:val="21"/>
          <w:highlight w:val="none"/>
        </w:rPr>
        <w:t>有权拒收，无条件退货或要求换货。</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lang w:val="en-US" w:eastAsia="zh-CN"/>
        </w:rPr>
        <w:t>、付款方式</w:t>
      </w:r>
    </w:p>
    <w:p>
      <w:r>
        <w:rPr>
          <w:rFonts w:hint="eastAsia" w:ascii="宋体" w:hAnsi="宋体" w:eastAsia="宋体" w:cs="宋体"/>
          <w:color w:val="auto"/>
          <w:kern w:val="2"/>
          <w:sz w:val="21"/>
          <w:szCs w:val="21"/>
          <w:highlight w:val="none"/>
          <w:lang w:val="en-US" w:eastAsia="zh-CN" w:bidi="ar-SA"/>
        </w:rPr>
        <w:t>本项目一次性规划，分步实施，按实结算，货到验收合格、收到正规发票后6个月内付款。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Mzk4NWU4YzFkNDYwN2I4YTE2ZmExZWFmMjdlNDAifQ=="/>
  </w:docVars>
  <w:rsids>
    <w:rsidRoot w:val="00000000"/>
    <w:rsid w:val="316E6924"/>
    <w:rsid w:val="6FF6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4"/>
    <w:qFormat/>
    <w:uiPriority w:val="0"/>
    <w:pPr>
      <w:spacing w:after="120"/>
      <w:textAlignment w:val="baseline"/>
    </w:pPr>
  </w:style>
  <w:style w:type="paragraph" w:customStyle="1" w:styleId="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Body Text First Indent"/>
    <w:basedOn w:val="6"/>
    <w:next w:val="1"/>
    <w:qFormat/>
    <w:uiPriority w:val="0"/>
    <w:pPr>
      <w:spacing w:after="120"/>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2023-11-01T02:48:00Z</dcterms:created>
  <dc:creator>0520</dc:creator>
  <cp:lastModifiedBy>Administrator</cp:lastModifiedBy>
  <dcterms:modified xsi:type="dcterms:W3CDTF">2023-11-02T01:43:08Z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1390232CDD04433DA0694FDD8D4923C7_12</vt:lpwstr>
  </property>
</Properties>
</file>