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jc w:val="center"/>
        <w:rPr>
          <w:color w:val="000000"/>
        </w:rPr>
      </w:pPr>
      <w:r>
        <w:rPr>
          <w:rFonts w:hint="eastAsia"/>
          <w:color w:val="000000"/>
          <w:lang w:eastAsia="zh-CN"/>
        </w:rPr>
        <w:t>采购需求</w:t>
      </w:r>
    </w:p>
    <w:p>
      <w:pPr>
        <w:widowControl/>
        <w:spacing w:line="360" w:lineRule="auto"/>
        <w:ind w:firstLine="420" w:firstLineChars="200"/>
        <w:rPr>
          <w:rFonts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采购文件的相关要求，并说明调整理由，且该调整须经评标委员会审核认可。</w:t>
      </w:r>
      <w:bookmarkStart w:id="0" w:name="_GoBack"/>
      <w:bookmarkEnd w:id="0"/>
    </w:p>
    <w:p>
      <w:pPr>
        <w:widowControl/>
        <w:spacing w:line="360" w:lineRule="auto"/>
        <w:jc w:val="left"/>
        <w:rPr>
          <w:rFonts w:hint="eastAsia" w:ascii="Times New Roman" w:hAnsi="Times New Roman" w:eastAsia="宋体" w:cs="Times New Roman"/>
          <w:b/>
          <w:bCs/>
        </w:rPr>
      </w:pPr>
      <w:r>
        <w:rPr>
          <w:rFonts w:hint="eastAsia" w:ascii="Times New Roman" w:hAnsi="Times New Roman" w:eastAsia="宋体" w:cs="Times New Roman"/>
          <w:b/>
          <w:bCs/>
        </w:rPr>
        <w:t>一、项目概述</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2017年7月国务院办公厅出台“国民营养计划（2017—2030年）”，从我国国情出发，立足我国人群营养健康现状和需求，明确了今后一段时期内国民营养工作的指导思想、基本原则、实施策略和重大行动。《计划》指出，营养是人类维持生命、生长发育和健康的重要物质基础，国民营养事关国民素质提高和经济社会发展。要以人民健康为中心，以普及营养健康知识、优化营养健康服务、完善营养健康制度、建设营养健康环境、发展营养健康产业为重点，关注国民生命全周期、健康全过程的营养健康，将营养融入所有健康政策，提高国民营养健康水平。</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随着安庆市第一人民医院临床营养工作的全面开展，住院患者的临床营养整体管理在临床诊疗过程中显得尤为重要，现有临床营养工作的管理模式，已不能全部满足营养科的实际工作需要。</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建设一套基于连接HIS、LIS、EMR系统的“营养诊疗信息化系统”迫在眉睫，通过系统的建设，一是构建完整的住院营养诊疗体系，实现营养筛查、营养评估、营养诊断、营养干预、营养监测的动态过程管理；二是FSMP（特医食品）规模化提升：提升肠内营养摄入规模、降低药占比和规范化管理水平的同时，实现营养科与临床科室MDT多科室协作，提升患者诊疗效果；三是开展门诊营养诊疗体系，纠正和改善营养不良，做好高血压、糖尿病、孕产妇、儿童、肥胖等人群营养干预工作，从而进一步改善医疗服务质量提高患者满意度，突出安庆市第一人民医院临床营养工作在全国的领先地位，亟待普及营养诊疗信息规范化管理。</w:t>
      </w:r>
    </w:p>
    <w:p>
      <w:pPr>
        <w:widowControl/>
        <w:spacing w:line="360" w:lineRule="auto"/>
        <w:jc w:val="left"/>
        <w:rPr>
          <w:rFonts w:hint="eastAsia" w:ascii="Times New Roman" w:hAnsi="Times New Roman" w:eastAsia="宋体" w:cs="Times New Roman"/>
          <w:b/>
          <w:bCs/>
        </w:rPr>
      </w:pPr>
      <w:r>
        <w:rPr>
          <w:rFonts w:hint="eastAsia" w:cs="Times New Roman"/>
          <w:b/>
          <w:bCs/>
          <w:lang w:val="en-US" w:eastAsia="zh-CN"/>
        </w:rPr>
        <w:t>二、</w:t>
      </w:r>
      <w:r>
        <w:rPr>
          <w:rFonts w:hint="eastAsia" w:ascii="Times New Roman" w:hAnsi="Times New Roman" w:eastAsia="宋体" w:cs="Times New Roman"/>
          <w:b/>
          <w:bCs/>
        </w:rPr>
        <w:t>项目建设目标</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1.提供全面的营养评估和诊断功能，根据患者的个体差异和疾病特点制定个性化的营养治疗方案，同时实现医生、护士和营养师之间的协作，促进患者的全过程营养管理。</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Times New Roman"/>
          <w:kern w:val="2"/>
          <w:sz w:val="21"/>
          <w:szCs w:val="21"/>
          <w:lang w:val="en-US" w:eastAsia="zh-CN" w:bidi="ar-SA"/>
        </w:rPr>
        <w:t>2.为临床营养诊疗工作和膳食营养工作提供更加有效的系统支持。使临床营养科能够建立完整的住院患者营养诊疗体系，通过对住院患者全面临床诊疗信息的掌握，实现营养评估、营养诊断、营养干预、营养监测</w:t>
      </w:r>
      <w:r>
        <w:rPr>
          <w:rFonts w:hint="eastAsia" w:ascii="宋体" w:hAnsi="宋体" w:eastAsia="宋体" w:cs="宋体"/>
          <w:kern w:val="2"/>
          <w:sz w:val="21"/>
          <w:szCs w:val="21"/>
        </w:rPr>
        <w:t>，并最终形成营养病历的完整的营养诊疗流程，实现全面的临床营养质控管理。</w:t>
      </w:r>
    </w:p>
    <w:p>
      <w:pPr>
        <w:widowControl/>
        <w:spacing w:line="360" w:lineRule="auto"/>
        <w:jc w:val="left"/>
        <w:rPr>
          <w:rFonts w:hint="eastAsia" w:ascii="Times New Roman" w:hAnsi="Times New Roman" w:eastAsia="宋体" w:cs="Times New Roman"/>
          <w:b/>
          <w:bCs/>
          <w:lang w:val="en-US" w:eastAsia="zh-CN"/>
        </w:rPr>
      </w:pPr>
      <w:r>
        <w:rPr>
          <w:rFonts w:hint="eastAsia" w:cs="Times New Roman"/>
          <w:b/>
          <w:bCs/>
          <w:lang w:val="en-US" w:eastAsia="zh-CN"/>
        </w:rPr>
        <w:t>三</w:t>
      </w:r>
      <w:r>
        <w:rPr>
          <w:rFonts w:hint="eastAsia" w:ascii="Times New Roman" w:hAnsi="Times New Roman" w:eastAsia="宋体" w:cs="Times New Roman"/>
          <w:b/>
          <w:bCs/>
          <w:lang w:val="en-US" w:eastAsia="zh-CN"/>
        </w:rPr>
        <w:t>、建设内容</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1.本项目建设内容包括软件采购及配套硬件采购：</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软件部分为临床营养诊疗系统软件（产品软件）采购，软件功能包括营养筛评工具、营养治疗模块、门诊模块、住院患者模块、膳食订餐模块、特医食品配制管理模块、统计报表模块、肠内营养制剂收费模块、系统设置模块、移动诊疗模块、院外营养随访管理模块（含医生端、患者端、后台系统管理）；</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2）配套硬件包括5台移动诊疗终端的采购。</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420" w:firstLineChars="200"/>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2.临床营养诊疗系统部署所需应用服务器及数据库服务器由医院提供，中标人提供服务器参数要求。</w:t>
      </w:r>
    </w:p>
    <w:p>
      <w:pPr>
        <w:widowControl/>
        <w:spacing w:line="360" w:lineRule="auto"/>
        <w:jc w:val="left"/>
        <w:rPr>
          <w:rFonts w:hint="eastAsia" w:ascii="Times New Roman" w:hAnsi="Times New Roman" w:eastAsia="宋体" w:cs="Times New Roman"/>
          <w:b/>
          <w:bCs/>
          <w:lang w:val="en-US" w:eastAsia="zh-CN"/>
        </w:rPr>
      </w:pPr>
      <w:r>
        <w:rPr>
          <w:rFonts w:hint="eastAsia" w:cs="Times New Roman"/>
          <w:b/>
          <w:bCs/>
          <w:lang w:val="en-US" w:eastAsia="zh-CN"/>
        </w:rPr>
        <w:t>四、</w:t>
      </w:r>
      <w:r>
        <w:rPr>
          <w:rFonts w:hint="eastAsia" w:ascii="Times New Roman" w:hAnsi="Times New Roman" w:eastAsia="宋体" w:cs="Times New Roman"/>
          <w:b/>
          <w:bCs/>
          <w:lang w:val="en-US" w:eastAsia="zh-CN"/>
        </w:rPr>
        <w:t>项目总体要求</w:t>
      </w:r>
    </w:p>
    <w:tbl>
      <w:tblPr>
        <w:tblStyle w:val="28"/>
        <w:tblW w:w="9639" w:type="dxa"/>
        <w:jc w:val="center"/>
        <w:tblLayout w:type="fixed"/>
        <w:tblCellMar>
          <w:top w:w="0" w:type="dxa"/>
          <w:left w:w="108" w:type="dxa"/>
          <w:bottom w:w="0" w:type="dxa"/>
          <w:right w:w="108" w:type="dxa"/>
        </w:tblCellMar>
      </w:tblPr>
      <w:tblGrid>
        <w:gridCol w:w="1063"/>
        <w:gridCol w:w="8576"/>
      </w:tblGrid>
      <w:tr>
        <w:tblPrEx>
          <w:tblCellMar>
            <w:top w:w="0" w:type="dxa"/>
            <w:left w:w="108" w:type="dxa"/>
            <w:bottom w:w="0" w:type="dxa"/>
            <w:right w:w="108" w:type="dxa"/>
          </w:tblCellMar>
        </w:tblPrEx>
        <w:trPr>
          <w:trHeight w:val="415" w:hRule="atLeast"/>
          <w:jc w:val="center"/>
        </w:trPr>
        <w:tc>
          <w:tcPr>
            <w:tcW w:w="1063" w:type="dxa"/>
            <w:vMerge w:val="restart"/>
            <w:tcBorders>
              <w:top w:val="single" w:color="000000" w:sz="4" w:space="0"/>
              <w:left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r>
              <w:rPr>
                <w:rFonts w:hint="eastAsia" w:ascii="宋体" w:hAnsi="宋体" w:cs="宋体"/>
                <w:b/>
                <w:bCs/>
                <w:sz w:val="21"/>
                <w:szCs w:val="21"/>
              </w:rPr>
              <w:t>总体</w:t>
            </w:r>
          </w:p>
          <w:p>
            <w:pPr>
              <w:widowControl/>
              <w:spacing w:line="240" w:lineRule="auto"/>
              <w:jc w:val="center"/>
              <w:textAlignment w:val="center"/>
              <w:rPr>
                <w:rFonts w:ascii="宋体" w:hAnsi="宋体" w:cs="宋体"/>
                <w:b/>
                <w:bCs/>
                <w:sz w:val="21"/>
                <w:szCs w:val="21"/>
              </w:rPr>
            </w:pPr>
            <w:r>
              <w:rPr>
                <w:rFonts w:hint="eastAsia" w:ascii="宋体" w:hAnsi="宋体" w:cs="宋体"/>
                <w:b/>
                <w:bCs/>
                <w:sz w:val="21"/>
                <w:szCs w:val="21"/>
              </w:rPr>
              <w:t>要求</w:t>
            </w: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临床营养诊疗系统应提供自动日备份功能，备份最少保留30天的备份文件。</w:t>
            </w:r>
          </w:p>
        </w:tc>
      </w:tr>
      <w:tr>
        <w:tblPrEx>
          <w:tblCellMar>
            <w:top w:w="0" w:type="dxa"/>
            <w:left w:w="108" w:type="dxa"/>
            <w:bottom w:w="0" w:type="dxa"/>
            <w:right w:w="108" w:type="dxa"/>
          </w:tblCellMar>
        </w:tblPrEx>
        <w:trPr>
          <w:trHeight w:val="415" w:hRule="atLeast"/>
          <w:jc w:val="center"/>
        </w:trPr>
        <w:tc>
          <w:tcPr>
            <w:tcW w:w="1063" w:type="dxa"/>
            <w:vMerge w:val="continue"/>
            <w:tcBorders>
              <w:left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临床营养诊疗系统提供表结构及视图说明文档。</w:t>
            </w:r>
          </w:p>
        </w:tc>
      </w:tr>
      <w:tr>
        <w:tblPrEx>
          <w:tblCellMar>
            <w:top w:w="0" w:type="dxa"/>
            <w:left w:w="108" w:type="dxa"/>
            <w:bottom w:w="0" w:type="dxa"/>
            <w:right w:w="108" w:type="dxa"/>
          </w:tblCellMar>
        </w:tblPrEx>
        <w:trPr>
          <w:trHeight w:val="415" w:hRule="atLeast"/>
          <w:jc w:val="center"/>
        </w:trPr>
        <w:tc>
          <w:tcPr>
            <w:tcW w:w="1063" w:type="dxa"/>
            <w:vMerge w:val="continue"/>
            <w:tcBorders>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临床营养诊疗系统应实现肠内营养规范化管理，降低药占比和规范化管理水平的同时，实现营养科与临床科室MDT多科室协作，提升患者诊疗效果；</w:t>
            </w:r>
          </w:p>
          <w:p>
            <w:pPr>
              <w:widowControl/>
              <w:spacing w:line="240" w:lineRule="auto"/>
              <w:textAlignment w:val="top"/>
              <w:rPr>
                <w:rFonts w:ascii="宋体" w:hAnsi="宋体" w:cs="宋体"/>
                <w:sz w:val="21"/>
                <w:szCs w:val="21"/>
              </w:rPr>
            </w:pPr>
            <w:r>
              <w:rPr>
                <w:rFonts w:hint="eastAsia" w:ascii="宋体" w:hAnsi="宋体" w:cs="宋体"/>
                <w:sz w:val="21"/>
                <w:szCs w:val="21"/>
              </w:rPr>
              <w:t>实现开展以临床主导的全院患者营养风险筛查管理；</w:t>
            </w:r>
          </w:p>
          <w:p>
            <w:pPr>
              <w:widowControl/>
              <w:spacing w:line="240" w:lineRule="auto"/>
              <w:textAlignment w:val="top"/>
              <w:rPr>
                <w:rFonts w:ascii="宋体" w:hAnsi="宋体" w:cs="宋体"/>
                <w:sz w:val="21"/>
                <w:szCs w:val="21"/>
              </w:rPr>
            </w:pPr>
            <w:r>
              <w:rPr>
                <w:rFonts w:hint="eastAsia" w:ascii="宋体" w:hAnsi="宋体" w:cs="宋体"/>
                <w:sz w:val="21"/>
                <w:szCs w:val="21"/>
              </w:rPr>
              <w:t xml:space="preserve">实现营养咨询门诊的营养信息化管理； </w:t>
            </w:r>
          </w:p>
          <w:p>
            <w:pPr>
              <w:widowControl/>
              <w:spacing w:line="240" w:lineRule="auto"/>
              <w:textAlignment w:val="top"/>
              <w:rPr>
                <w:rFonts w:ascii="宋体" w:hAnsi="宋体" w:cs="宋体"/>
                <w:sz w:val="21"/>
                <w:szCs w:val="21"/>
              </w:rPr>
            </w:pPr>
            <w:r>
              <w:rPr>
                <w:rFonts w:hint="eastAsia" w:ascii="宋体" w:hAnsi="宋体" w:cs="宋体"/>
                <w:sz w:val="21"/>
                <w:szCs w:val="21"/>
              </w:rPr>
              <w:t>营养质控数据决策支持；</w:t>
            </w:r>
          </w:p>
          <w:p>
            <w:pPr>
              <w:widowControl/>
              <w:spacing w:line="240" w:lineRule="auto"/>
              <w:textAlignment w:val="top"/>
              <w:rPr>
                <w:rFonts w:ascii="宋体" w:hAnsi="宋体" w:cs="宋体"/>
                <w:sz w:val="21"/>
                <w:szCs w:val="21"/>
                <w:highlight w:val="none"/>
              </w:rPr>
            </w:pPr>
            <w:r>
              <w:rPr>
                <w:rFonts w:hint="eastAsia" w:ascii="宋体" w:hAnsi="宋体" w:cs="宋体"/>
                <w:sz w:val="21"/>
                <w:szCs w:val="21"/>
              </w:rPr>
              <w:t>构建完整的医院患者营养诊疗体系，实现从营养评估、营养诊断、营养干预、营养监测，并最终形成营养病历的完整的营养诊疗流程，并</w:t>
            </w:r>
            <w:r>
              <w:rPr>
                <w:rFonts w:hint="eastAsia" w:ascii="宋体" w:hAnsi="宋体" w:cs="宋体"/>
                <w:sz w:val="21"/>
                <w:szCs w:val="21"/>
                <w:highlight w:val="none"/>
              </w:rPr>
              <w:t>实现全面的临床营养质控管理；</w:t>
            </w:r>
          </w:p>
          <w:p>
            <w:pPr>
              <w:widowControl/>
              <w:spacing w:line="240" w:lineRule="auto"/>
              <w:textAlignment w:val="top"/>
              <w:rPr>
                <w:rFonts w:ascii="宋体" w:hAnsi="宋体" w:cs="宋体"/>
                <w:sz w:val="21"/>
                <w:szCs w:val="21"/>
                <w:highlight w:val="none"/>
              </w:rPr>
            </w:pPr>
            <w:r>
              <w:rPr>
                <w:rFonts w:hint="eastAsia" w:ascii="宋体" w:hAnsi="宋体" w:cs="宋体"/>
                <w:sz w:val="21"/>
                <w:szCs w:val="21"/>
                <w:highlight w:val="none"/>
              </w:rPr>
              <w:t>构建日常工作的智能化管理体系，实现实时、共享、查询和备份；</w:t>
            </w:r>
          </w:p>
          <w:p>
            <w:pPr>
              <w:widowControl/>
              <w:spacing w:line="240" w:lineRule="auto"/>
              <w:textAlignment w:val="top"/>
              <w:rPr>
                <w:rFonts w:ascii="宋体" w:hAnsi="宋体" w:cs="宋体"/>
                <w:sz w:val="21"/>
                <w:szCs w:val="21"/>
                <w:highlight w:val="none"/>
              </w:rPr>
            </w:pPr>
            <w:r>
              <w:rPr>
                <w:rFonts w:hint="eastAsia" w:ascii="宋体" w:hAnsi="宋体" w:cs="宋体"/>
                <w:sz w:val="21"/>
                <w:szCs w:val="21"/>
                <w:highlight w:val="none"/>
              </w:rPr>
              <w:t>配套多种软件硬件，为开展营养宣教提供平台；</w:t>
            </w:r>
          </w:p>
          <w:p>
            <w:pPr>
              <w:widowControl/>
              <w:spacing w:line="240" w:lineRule="auto"/>
              <w:textAlignment w:val="top"/>
              <w:rPr>
                <w:rFonts w:ascii="宋体" w:hAnsi="宋体" w:cs="宋体"/>
                <w:sz w:val="21"/>
                <w:szCs w:val="21"/>
                <w:highlight w:val="none"/>
              </w:rPr>
            </w:pPr>
            <w:r>
              <w:rPr>
                <w:rFonts w:hint="eastAsia" w:ascii="宋体" w:hAnsi="宋体" w:cs="宋体"/>
                <w:sz w:val="21"/>
                <w:szCs w:val="21"/>
                <w:highlight w:val="none"/>
              </w:rPr>
              <w:t>营养病历规范符合等级医院评审要求和国家</w:t>
            </w:r>
            <w:r>
              <w:rPr>
                <w:rFonts w:hint="eastAsia" w:ascii="宋体" w:hAnsi="宋体" w:cs="宋体"/>
                <w:sz w:val="21"/>
                <w:szCs w:val="21"/>
                <w:highlight w:val="none"/>
                <w:lang w:val="en-US" w:eastAsia="zh-CN"/>
              </w:rPr>
              <w:t>卫健委</w:t>
            </w:r>
            <w:r>
              <w:rPr>
                <w:rFonts w:hint="eastAsia" w:ascii="宋体" w:hAnsi="宋体" w:cs="宋体"/>
                <w:sz w:val="21"/>
                <w:szCs w:val="21"/>
                <w:highlight w:val="none"/>
              </w:rPr>
              <w:t>病历书写规范，构建门诊营养诊疗和住院营养诊疗相结合的电子病历体系，将患者营养筛查、评估、诊断、干预、监测数据汇总，自动生成营养病历和病程记录；</w:t>
            </w:r>
          </w:p>
          <w:p>
            <w:pPr>
              <w:widowControl/>
              <w:spacing w:line="240" w:lineRule="auto"/>
              <w:textAlignment w:val="top"/>
              <w:rPr>
                <w:rFonts w:ascii="宋体" w:hAnsi="宋体" w:cs="宋体"/>
                <w:sz w:val="21"/>
                <w:szCs w:val="21"/>
              </w:rPr>
            </w:pPr>
            <w:r>
              <w:rPr>
                <w:rFonts w:hint="eastAsia" w:ascii="宋体" w:hAnsi="宋体" w:cs="宋体"/>
                <w:sz w:val="21"/>
                <w:szCs w:val="21"/>
              </w:rPr>
              <w:t>肠内、肠外营养干预及并发症预警，结合线上诊断系统实时跟进患者营养改善效果及时调整营养方案；</w:t>
            </w:r>
          </w:p>
          <w:p>
            <w:pPr>
              <w:widowControl/>
              <w:spacing w:line="240" w:lineRule="auto"/>
              <w:textAlignment w:val="top"/>
              <w:rPr>
                <w:rFonts w:ascii="宋体" w:hAnsi="宋体" w:cs="宋体"/>
                <w:sz w:val="21"/>
                <w:szCs w:val="21"/>
              </w:rPr>
            </w:pPr>
            <w:r>
              <w:rPr>
                <w:rFonts w:hint="eastAsia" w:ascii="宋体" w:hAnsi="宋体" w:cs="宋体"/>
                <w:sz w:val="21"/>
                <w:szCs w:val="21"/>
              </w:rPr>
              <w:t>实现营养科与临床科室 MDT 多科室协作；</w:t>
            </w:r>
          </w:p>
          <w:p>
            <w:pPr>
              <w:widowControl/>
              <w:spacing w:line="240" w:lineRule="auto"/>
              <w:textAlignment w:val="top"/>
              <w:rPr>
                <w:rFonts w:ascii="宋体" w:hAnsi="宋体" w:cs="宋体"/>
                <w:sz w:val="21"/>
                <w:szCs w:val="21"/>
              </w:rPr>
            </w:pPr>
            <w:r>
              <w:rPr>
                <w:rFonts w:hint="eastAsia" w:ascii="宋体" w:hAnsi="宋体" w:cs="宋体"/>
                <w:sz w:val="21"/>
                <w:szCs w:val="21"/>
              </w:rPr>
              <w:t>提供完整的营养报表和综合查询功能，为临床、科研、教学提供数据；</w:t>
            </w:r>
          </w:p>
          <w:p>
            <w:pPr>
              <w:widowControl/>
              <w:spacing w:line="240" w:lineRule="auto"/>
              <w:textAlignment w:val="top"/>
              <w:rPr>
                <w:rFonts w:ascii="宋体" w:hAnsi="宋体" w:cs="宋体"/>
                <w:sz w:val="21"/>
                <w:szCs w:val="21"/>
              </w:rPr>
            </w:pPr>
            <w:r>
              <w:rPr>
                <w:rFonts w:hint="eastAsia" w:ascii="微软雅黑" w:hAnsi="微软雅黑" w:eastAsia="微软雅黑" w:cs="微软雅黑"/>
                <w:sz w:val="21"/>
                <w:szCs w:val="21"/>
              </w:rPr>
              <w:t>★</w:t>
            </w:r>
            <w:r>
              <w:rPr>
                <w:rFonts w:hint="eastAsia" w:ascii="宋体" w:hAnsi="宋体" w:cs="宋体"/>
                <w:sz w:val="21"/>
                <w:szCs w:val="21"/>
              </w:rPr>
              <w:t>符合国家卫健委临床营养科规范化发展、三级医院评审、电子病历分级评价及互联互通的要求。</w:t>
            </w:r>
          </w:p>
        </w:tc>
      </w:tr>
      <w:tr>
        <w:tblPrEx>
          <w:tblCellMar>
            <w:top w:w="0" w:type="dxa"/>
            <w:left w:w="108" w:type="dxa"/>
            <w:bottom w:w="0" w:type="dxa"/>
            <w:right w:w="108" w:type="dxa"/>
          </w:tblCellMar>
        </w:tblPrEx>
        <w:trPr>
          <w:trHeight w:val="415"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r>
              <w:rPr>
                <w:rFonts w:hint="eastAsia" w:ascii="宋体" w:hAnsi="宋体" w:cs="宋体"/>
                <w:b/>
                <w:bCs/>
                <w:sz w:val="21"/>
                <w:szCs w:val="21"/>
              </w:rPr>
              <w:t>系统</w:t>
            </w:r>
          </w:p>
          <w:p>
            <w:pPr>
              <w:widowControl/>
              <w:spacing w:line="240" w:lineRule="auto"/>
              <w:jc w:val="center"/>
              <w:textAlignment w:val="center"/>
              <w:rPr>
                <w:rFonts w:ascii="宋体" w:hAnsi="宋体" w:cs="宋体"/>
                <w:b/>
                <w:bCs/>
                <w:sz w:val="21"/>
                <w:szCs w:val="21"/>
              </w:rPr>
            </w:pPr>
            <w:r>
              <w:rPr>
                <w:rFonts w:hint="eastAsia" w:ascii="宋体" w:hAnsi="宋体" w:cs="宋体"/>
                <w:b/>
                <w:bCs/>
                <w:sz w:val="21"/>
                <w:szCs w:val="21"/>
              </w:rPr>
              <w:t>安全</w:t>
            </w: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整套系统必须符合医院信息安全等级保护2.0的标准要求。</w:t>
            </w:r>
          </w:p>
        </w:tc>
      </w:tr>
      <w:tr>
        <w:tblPrEx>
          <w:tblCellMar>
            <w:top w:w="0" w:type="dxa"/>
            <w:left w:w="108" w:type="dxa"/>
            <w:bottom w:w="0" w:type="dxa"/>
            <w:right w:w="108" w:type="dxa"/>
          </w:tblCellMar>
        </w:tblPrEx>
        <w:trPr>
          <w:trHeight w:val="1081"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微软雅黑" w:hAnsi="微软雅黑" w:eastAsia="微软雅黑" w:cs="微软雅黑"/>
                <w:sz w:val="21"/>
                <w:szCs w:val="21"/>
              </w:rPr>
              <w:t>★</w:t>
            </w:r>
            <w:r>
              <w:rPr>
                <w:rFonts w:hint="eastAsia" w:ascii="宋体" w:hAnsi="宋体" w:cs="宋体"/>
                <w:sz w:val="21"/>
                <w:szCs w:val="21"/>
              </w:rPr>
              <w:t>支持最常用的用户名＋口令、USB Key、动态口令、短信验证码等多种身份认证机制，确保身份的唯一性和安全性。在数据库中存储的用户口令、关键参数等敏感数据，都采用MD5加密处理。所有附件都统一管理，并且进行了必要的加密转换处理，使非法用户无法获取准确的附件信息。</w:t>
            </w:r>
          </w:p>
        </w:tc>
      </w:tr>
      <w:tr>
        <w:tblPrEx>
          <w:tblCellMar>
            <w:top w:w="0" w:type="dxa"/>
            <w:left w:w="108" w:type="dxa"/>
            <w:bottom w:w="0" w:type="dxa"/>
            <w:right w:w="108" w:type="dxa"/>
          </w:tblCellMar>
        </w:tblPrEx>
        <w:trPr>
          <w:trHeight w:val="415"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提供加密、掩码等脱敏技术对医院要求的信息进行匿名化处理。</w:t>
            </w:r>
          </w:p>
        </w:tc>
      </w:tr>
      <w:tr>
        <w:tblPrEx>
          <w:tblCellMar>
            <w:top w:w="0" w:type="dxa"/>
            <w:left w:w="108" w:type="dxa"/>
            <w:bottom w:w="0" w:type="dxa"/>
            <w:right w:w="108" w:type="dxa"/>
          </w:tblCellMar>
        </w:tblPrEx>
        <w:trPr>
          <w:trHeight w:val="415"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提供的系统平台如涉及到签名，必须与医院的CA认证实现对接。</w:t>
            </w:r>
          </w:p>
        </w:tc>
      </w:tr>
      <w:tr>
        <w:tblPrEx>
          <w:tblCellMar>
            <w:top w:w="0" w:type="dxa"/>
            <w:left w:w="108" w:type="dxa"/>
            <w:bottom w:w="0" w:type="dxa"/>
            <w:right w:w="108" w:type="dxa"/>
          </w:tblCellMar>
        </w:tblPrEx>
        <w:trPr>
          <w:trHeight w:val="358"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系统应能对所有的操作进行追踪调查、记录并进行分类，具有日志记录和日志审理功能。</w:t>
            </w:r>
          </w:p>
        </w:tc>
      </w:tr>
      <w:tr>
        <w:tblPrEx>
          <w:tblCellMar>
            <w:top w:w="0" w:type="dxa"/>
            <w:left w:w="108" w:type="dxa"/>
            <w:bottom w:w="0" w:type="dxa"/>
            <w:right w:w="108" w:type="dxa"/>
          </w:tblCellMar>
        </w:tblPrEx>
        <w:trPr>
          <w:trHeight w:val="822"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提供不同级别，不同故障情况下的应用系统的应急预案（指技术实现方案）。避免因计算机故障导致的医疗工作的延迟和医疗差错。</w:t>
            </w:r>
          </w:p>
        </w:tc>
      </w:tr>
      <w:tr>
        <w:tblPrEx>
          <w:tblCellMar>
            <w:top w:w="0" w:type="dxa"/>
            <w:left w:w="108" w:type="dxa"/>
            <w:bottom w:w="0" w:type="dxa"/>
            <w:right w:w="108" w:type="dxa"/>
          </w:tblCellMar>
        </w:tblPrEx>
        <w:trPr>
          <w:trHeight w:val="476"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hint="eastAsia" w:ascii="宋体" w:hAnsi="宋体" w:cs="宋体"/>
                <w:sz w:val="21"/>
                <w:szCs w:val="21"/>
              </w:rPr>
            </w:pPr>
            <w:r>
              <w:rPr>
                <w:rFonts w:hint="eastAsia" w:ascii="宋体" w:hAnsi="宋体" w:cs="宋体"/>
                <w:sz w:val="21"/>
                <w:szCs w:val="21"/>
              </w:rPr>
              <w:t>为保障本项目的运行稳定性和数据保密性，本项目所涉及的系统必须严格按照医院要求提供本地化部署。提供完备的用户认证安全、用户授权安全、访问控制安全、信息加密安全、数据加解密安全、使用安全、数据安全、物理和环境安全、网络和通信安全、安全审计等。</w:t>
            </w:r>
          </w:p>
        </w:tc>
      </w:tr>
      <w:tr>
        <w:tblPrEx>
          <w:tblCellMar>
            <w:top w:w="0" w:type="dxa"/>
            <w:left w:w="108" w:type="dxa"/>
            <w:bottom w:w="0" w:type="dxa"/>
            <w:right w:w="108" w:type="dxa"/>
          </w:tblCellMar>
        </w:tblPrEx>
        <w:trPr>
          <w:trHeight w:val="822"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sz w:val="21"/>
                <w:szCs w:val="21"/>
              </w:rPr>
            </w:pPr>
          </w:p>
          <w:p>
            <w:pPr>
              <w:widowControl/>
              <w:spacing w:line="240" w:lineRule="auto"/>
              <w:jc w:val="center"/>
              <w:textAlignment w:val="center"/>
              <w:rPr>
                <w:rFonts w:ascii="宋体" w:hAnsi="宋体" w:cs="宋体"/>
                <w:b/>
                <w:bCs/>
                <w:sz w:val="21"/>
                <w:szCs w:val="21"/>
              </w:rPr>
            </w:pPr>
            <w:r>
              <w:rPr>
                <w:rFonts w:hint="eastAsia" w:ascii="宋体" w:hAnsi="宋体" w:cs="宋体"/>
                <w:b/>
                <w:bCs/>
                <w:sz w:val="21"/>
                <w:szCs w:val="21"/>
              </w:rPr>
              <w:t>互连</w:t>
            </w:r>
          </w:p>
          <w:p>
            <w:pPr>
              <w:widowControl/>
              <w:spacing w:line="240" w:lineRule="auto"/>
              <w:jc w:val="center"/>
              <w:textAlignment w:val="center"/>
              <w:rPr>
                <w:rFonts w:ascii="宋体" w:hAnsi="宋体" w:cs="宋体"/>
                <w:b/>
                <w:bCs/>
                <w:sz w:val="21"/>
                <w:szCs w:val="21"/>
              </w:rPr>
            </w:pPr>
            <w:r>
              <w:rPr>
                <w:rFonts w:hint="eastAsia" w:ascii="宋体" w:hAnsi="宋体" w:cs="宋体"/>
                <w:b/>
                <w:bCs/>
                <w:sz w:val="21"/>
                <w:szCs w:val="21"/>
              </w:rPr>
              <w:t>互通</w:t>
            </w: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hint="eastAsia" w:ascii="宋体" w:hAnsi="宋体" w:cs="宋体"/>
                <w:sz w:val="21"/>
                <w:szCs w:val="21"/>
              </w:rPr>
            </w:pPr>
            <w:r>
              <w:rPr>
                <w:rFonts w:hint="eastAsia" w:ascii="宋体" w:hAnsi="宋体" w:cs="宋体"/>
                <w:sz w:val="21"/>
                <w:szCs w:val="21"/>
              </w:rPr>
              <w:t>★接口要求：按照系统和医院的要求，能与医院集成平台和现有系统进行免费对接，并能够按照现有系统的要求进行接口的改造，不能因接口改造而造成费用的增加。</w:t>
            </w:r>
          </w:p>
          <w:p>
            <w:pPr>
              <w:widowControl/>
              <w:spacing w:line="240" w:lineRule="auto"/>
              <w:textAlignment w:val="top"/>
              <w:rPr>
                <w:rFonts w:hint="eastAsia" w:ascii="宋体" w:hAnsi="宋体" w:cs="宋体"/>
                <w:sz w:val="21"/>
                <w:szCs w:val="21"/>
              </w:rPr>
            </w:pPr>
            <w:r>
              <w:rPr>
                <w:rFonts w:hint="eastAsia" w:ascii="宋体" w:hAnsi="宋体" w:cs="宋体"/>
                <w:sz w:val="21"/>
                <w:szCs w:val="21"/>
              </w:rPr>
              <w:t>★接口要求：具备与医院现有人体成分分析仪、肠道屏障分析仪、食堂点餐系统进行免费对接或进行标准化的改造。</w:t>
            </w:r>
          </w:p>
        </w:tc>
      </w:tr>
      <w:tr>
        <w:tblPrEx>
          <w:tblCellMar>
            <w:top w:w="0" w:type="dxa"/>
            <w:left w:w="108" w:type="dxa"/>
            <w:bottom w:w="0" w:type="dxa"/>
            <w:right w:w="108" w:type="dxa"/>
          </w:tblCellMar>
        </w:tblPrEx>
        <w:trPr>
          <w:trHeight w:val="415"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hint="eastAsia" w:ascii="宋体" w:hAnsi="宋体" w:cs="宋体"/>
                <w:sz w:val="21"/>
                <w:szCs w:val="21"/>
              </w:rPr>
            </w:pPr>
            <w:r>
              <w:rPr>
                <w:rFonts w:hint="eastAsia" w:ascii="宋体" w:hAnsi="宋体" w:cs="宋体"/>
                <w:sz w:val="21"/>
                <w:szCs w:val="21"/>
              </w:rPr>
              <w:t>★免费提供接口文档，满足新系统的接入和老系统的升级改造。</w:t>
            </w:r>
          </w:p>
        </w:tc>
      </w:tr>
      <w:tr>
        <w:tblPrEx>
          <w:tblCellMar>
            <w:top w:w="0" w:type="dxa"/>
            <w:left w:w="108" w:type="dxa"/>
            <w:bottom w:w="0" w:type="dxa"/>
            <w:right w:w="108" w:type="dxa"/>
          </w:tblCellMar>
        </w:tblPrEx>
        <w:trPr>
          <w:trHeight w:val="893"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hint="eastAsia" w:ascii="宋体" w:hAnsi="宋体" w:cs="宋体"/>
                <w:sz w:val="21"/>
                <w:szCs w:val="21"/>
              </w:rPr>
            </w:pPr>
            <w:r>
              <w:rPr>
                <w:rFonts w:hint="eastAsia" w:ascii="宋体" w:hAnsi="宋体" w:cs="宋体"/>
                <w:sz w:val="21"/>
                <w:szCs w:val="21"/>
              </w:rPr>
              <w:t>系统应满足院内集成平台要求:系统必须使用医院平台的科室信息、员工信息、岗位信息、授权信息等标准库信息，与院内集成平台、数据中心进行免费对接和进行标准化的改造。</w:t>
            </w:r>
          </w:p>
        </w:tc>
      </w:tr>
      <w:tr>
        <w:tblPrEx>
          <w:tblCellMar>
            <w:top w:w="0" w:type="dxa"/>
            <w:left w:w="108" w:type="dxa"/>
            <w:bottom w:w="0" w:type="dxa"/>
            <w:right w:w="108" w:type="dxa"/>
          </w:tblCellMar>
        </w:tblPrEx>
        <w:trPr>
          <w:trHeight w:val="822"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可实现与院内平台实现对接，支持统一化管理。包括统一单点登录、统一权限管理、统一部门管理、统一用户管理、统一界面整合、统一数据展示等。</w:t>
            </w:r>
          </w:p>
        </w:tc>
      </w:tr>
      <w:tr>
        <w:tblPrEx>
          <w:tblCellMar>
            <w:top w:w="0" w:type="dxa"/>
            <w:left w:w="108" w:type="dxa"/>
            <w:bottom w:w="0" w:type="dxa"/>
            <w:right w:w="108" w:type="dxa"/>
          </w:tblCellMar>
        </w:tblPrEx>
        <w:trPr>
          <w:trHeight w:val="1074" w:hRule="atLeast"/>
          <w:jc w:val="center"/>
        </w:trPr>
        <w:tc>
          <w:tcPr>
            <w:tcW w:w="106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sz w:val="21"/>
                <w:szCs w:val="21"/>
              </w:rPr>
            </w:pPr>
            <w:r>
              <w:rPr>
                <w:rFonts w:hint="eastAsia" w:ascii="宋体" w:hAnsi="宋体" w:cs="宋体"/>
                <w:b/>
                <w:bCs/>
                <w:sz w:val="21"/>
                <w:szCs w:val="21"/>
              </w:rPr>
              <w:t>性能</w:t>
            </w:r>
          </w:p>
          <w:p>
            <w:pPr>
              <w:spacing w:line="240" w:lineRule="auto"/>
              <w:jc w:val="center"/>
              <w:rPr>
                <w:rFonts w:ascii="宋体" w:hAnsi="宋体" w:cs="宋体"/>
                <w:b/>
                <w:bCs/>
                <w:sz w:val="21"/>
                <w:szCs w:val="21"/>
              </w:rPr>
            </w:pPr>
            <w:r>
              <w:rPr>
                <w:rFonts w:hint="eastAsia" w:ascii="宋体" w:hAnsi="宋体" w:cs="宋体"/>
                <w:b/>
                <w:bCs/>
                <w:sz w:val="21"/>
                <w:szCs w:val="21"/>
              </w:rPr>
              <w:t>要求</w:t>
            </w: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系统建设遵循先进性、实用性、安全性、开放性与标准化等原则，保证系统建设、维护、使用的低成本、可靠性、易用性和易于维护，并要求系统具有良好的扩展性，以保证医院在不断发展壮大形势下的管理需要。</w:t>
            </w:r>
          </w:p>
        </w:tc>
      </w:tr>
      <w:tr>
        <w:tblPrEx>
          <w:tblCellMar>
            <w:top w:w="0" w:type="dxa"/>
            <w:left w:w="108" w:type="dxa"/>
            <w:bottom w:w="0" w:type="dxa"/>
            <w:right w:w="108" w:type="dxa"/>
          </w:tblCellMar>
        </w:tblPrEx>
        <w:trPr>
          <w:trHeight w:val="1098"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终端用户操作性能指标：软件系统要体现易于理解掌握、操作简单、提示清晰、逻辑性强、直观简洁等特点，并能针对医院输入项目的特点对输入顺序专门定制，保证操作人员以最快速度和最少的击键次数完成工作。</w:t>
            </w:r>
          </w:p>
        </w:tc>
      </w:tr>
      <w:tr>
        <w:tblPrEx>
          <w:tblCellMar>
            <w:top w:w="0" w:type="dxa"/>
            <w:left w:w="108" w:type="dxa"/>
            <w:bottom w:w="0" w:type="dxa"/>
            <w:right w:w="108" w:type="dxa"/>
          </w:tblCellMar>
        </w:tblPrEx>
        <w:trPr>
          <w:trHeight w:val="435" w:hRule="atLeast"/>
          <w:jc w:val="center"/>
        </w:trPr>
        <w:tc>
          <w:tcPr>
            <w:tcW w:w="106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宋体" w:hAnsi="宋体" w:cs="宋体"/>
                <w:b/>
                <w:bCs/>
                <w:sz w:val="21"/>
                <w:szCs w:val="21"/>
              </w:rPr>
            </w:pPr>
          </w:p>
        </w:tc>
        <w:tc>
          <w:tcPr>
            <w:tcW w:w="85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top"/>
              <w:rPr>
                <w:rFonts w:ascii="宋体" w:hAnsi="宋体" w:cs="宋体"/>
                <w:sz w:val="21"/>
                <w:szCs w:val="21"/>
              </w:rPr>
            </w:pPr>
            <w:r>
              <w:rPr>
                <w:rFonts w:hint="eastAsia" w:ascii="宋体" w:hAnsi="宋体" w:cs="宋体"/>
                <w:sz w:val="21"/>
                <w:szCs w:val="21"/>
              </w:rPr>
              <w:t>业务操作响应时间≤2秒(不含报表查询)。</w:t>
            </w:r>
          </w:p>
        </w:tc>
      </w:tr>
      <w:tr>
        <w:tblPrEx>
          <w:tblCellMar>
            <w:top w:w="0" w:type="dxa"/>
            <w:left w:w="108" w:type="dxa"/>
            <w:bottom w:w="0" w:type="dxa"/>
            <w:right w:w="108" w:type="dxa"/>
          </w:tblCellMar>
        </w:tblPrEx>
        <w:trPr>
          <w:trHeight w:val="435"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pStyle w:val="23"/>
              <w:widowControl/>
              <w:wordWrap w:val="0"/>
              <w:spacing w:before="0" w:beforeAutospacing="0" w:after="0" w:afterAutospacing="0" w:line="240" w:lineRule="auto"/>
              <w:jc w:val="center"/>
              <w:rPr>
                <w:rFonts w:ascii="宋体" w:hAnsi="宋体" w:cs="宋体"/>
                <w:b/>
                <w:bCs/>
                <w:sz w:val="21"/>
                <w:szCs w:val="21"/>
              </w:rPr>
            </w:pPr>
            <w:r>
              <w:rPr>
                <w:rFonts w:hint="eastAsia" w:ascii="宋体" w:hAnsi="宋体" w:cs="宋体"/>
                <w:b/>
                <w:bCs/>
                <w:spacing w:val="7"/>
                <w:sz w:val="21"/>
                <w:szCs w:val="21"/>
              </w:rPr>
              <w:t>验收要求</w:t>
            </w:r>
          </w:p>
        </w:tc>
        <w:tc>
          <w:tcPr>
            <w:tcW w:w="8576" w:type="dxa"/>
            <w:tcBorders>
              <w:top w:val="single" w:color="000000" w:sz="4" w:space="0"/>
              <w:left w:val="single" w:color="000000" w:sz="4" w:space="0"/>
              <w:bottom w:val="single" w:color="000000" w:sz="4" w:space="0"/>
              <w:right w:val="single" w:color="000000" w:sz="4" w:space="0"/>
            </w:tcBorders>
            <w:vAlign w:val="center"/>
          </w:tcPr>
          <w:p>
            <w:pPr>
              <w:pStyle w:val="23"/>
              <w:widowControl/>
              <w:wordWrap w:val="0"/>
              <w:spacing w:before="0" w:beforeAutospacing="0" w:after="0" w:afterAutospacing="0" w:line="240" w:lineRule="auto"/>
              <w:jc w:val="both"/>
              <w:rPr>
                <w:rFonts w:ascii="宋体" w:hAnsi="宋体" w:cs="宋体"/>
                <w:sz w:val="21"/>
                <w:szCs w:val="21"/>
              </w:rPr>
            </w:pPr>
            <w:r>
              <w:rPr>
                <w:rFonts w:hint="eastAsia" w:ascii="宋体" w:hAnsi="宋体" w:cs="宋体"/>
                <w:spacing w:val="7"/>
                <w:sz w:val="21"/>
                <w:szCs w:val="21"/>
              </w:rPr>
              <w:t>1.</w:t>
            </w:r>
            <w:r>
              <w:rPr>
                <w:rFonts w:hint="eastAsia" w:ascii="宋体" w:hAnsi="宋体" w:cs="宋体"/>
                <w:kern w:val="2"/>
                <w:sz w:val="21"/>
                <w:szCs w:val="21"/>
              </w:rPr>
              <w:t>临床营养诊疗系统</w:t>
            </w:r>
            <w:r>
              <w:rPr>
                <w:rFonts w:hint="eastAsia" w:ascii="宋体" w:hAnsi="宋体" w:cs="宋体"/>
                <w:spacing w:val="7"/>
                <w:sz w:val="21"/>
                <w:szCs w:val="21"/>
              </w:rPr>
              <w:t>在使用前进行调试时，投标人需负责安装并培训采购人的使用操作人员，并协助采购人一起调试，直到符合技术要求，采购人才做最终验收。</w:t>
            </w:r>
          </w:p>
          <w:p>
            <w:pPr>
              <w:pStyle w:val="23"/>
              <w:widowControl/>
              <w:wordWrap w:val="0"/>
              <w:spacing w:before="0" w:beforeAutospacing="0" w:after="0" w:afterAutospacing="0" w:line="240" w:lineRule="auto"/>
              <w:jc w:val="both"/>
              <w:rPr>
                <w:rFonts w:ascii="宋体" w:hAnsi="宋体" w:cs="宋体"/>
                <w:sz w:val="21"/>
                <w:szCs w:val="21"/>
              </w:rPr>
            </w:pPr>
            <w:r>
              <w:rPr>
                <w:rFonts w:hint="eastAsia" w:ascii="宋体" w:hAnsi="宋体" w:cs="宋体"/>
                <w:spacing w:val="7"/>
                <w:sz w:val="21"/>
                <w:szCs w:val="21"/>
              </w:rPr>
              <w:t>2.验收时采购方、中标人等项目相关方都必须在现场，验收完毕后一致作出验收结果报告。</w:t>
            </w:r>
          </w:p>
        </w:tc>
      </w:tr>
      <w:tr>
        <w:tblPrEx>
          <w:tblCellMar>
            <w:top w:w="0" w:type="dxa"/>
            <w:left w:w="108" w:type="dxa"/>
            <w:bottom w:w="0" w:type="dxa"/>
            <w:right w:w="108" w:type="dxa"/>
          </w:tblCellMar>
        </w:tblPrEx>
        <w:trPr>
          <w:trHeight w:val="2030"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pStyle w:val="23"/>
              <w:widowControl/>
              <w:wordWrap w:val="0"/>
              <w:spacing w:before="0" w:beforeAutospacing="0" w:after="0" w:afterAutospacing="0" w:line="240" w:lineRule="auto"/>
              <w:jc w:val="center"/>
              <w:rPr>
                <w:rFonts w:ascii="宋体" w:hAnsi="宋体" w:cs="宋体"/>
                <w:b/>
                <w:bCs/>
                <w:spacing w:val="7"/>
                <w:sz w:val="21"/>
                <w:szCs w:val="21"/>
                <w:highlight w:val="yellow"/>
              </w:rPr>
            </w:pPr>
            <w:r>
              <w:rPr>
                <w:rFonts w:hint="eastAsia" w:ascii="宋体" w:hAnsi="宋体" w:cs="宋体"/>
                <w:b/>
                <w:bCs/>
                <w:spacing w:val="7"/>
                <w:sz w:val="21"/>
                <w:szCs w:val="21"/>
              </w:rPr>
              <w:t>售后服务和技术支持要求</w:t>
            </w:r>
          </w:p>
        </w:tc>
        <w:tc>
          <w:tcPr>
            <w:tcW w:w="8576" w:type="dxa"/>
            <w:tcBorders>
              <w:top w:val="single" w:color="000000" w:sz="4" w:space="0"/>
              <w:left w:val="single" w:color="000000" w:sz="4" w:space="0"/>
              <w:bottom w:val="single" w:color="000000" w:sz="4" w:space="0"/>
              <w:right w:val="single" w:color="000000" w:sz="4" w:space="0"/>
            </w:tcBorders>
            <w:vAlign w:val="center"/>
          </w:tcPr>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提供完善的售后服务和技术支持方案，包括但不限于以下内容：</w:t>
            </w:r>
          </w:p>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1.投标人应当具有良好的服务理念和完善的售后服务体系，能够按照技术方案提供系统集成技术支持服务；</w:t>
            </w:r>
          </w:p>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★2.所有投标软件产品质保期不低于两年，质保期内应用软件的升级、维护均免费。</w:t>
            </w:r>
          </w:p>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3.质保期满后，投标方与医院友好协商，签订维保合同。维保费用不得高于中标合同款项中软件部分的8%。</w:t>
            </w:r>
          </w:p>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4.在系统建设、使用、运维等过程中遇到问题时，应能够得到投标人相应的技术支持与帮助；</w:t>
            </w:r>
          </w:p>
          <w:p>
            <w:pPr>
              <w:pStyle w:val="23"/>
              <w:widowControl/>
              <w:wordWrap w:val="0"/>
              <w:spacing w:before="0" w:beforeAutospacing="0" w:after="0" w:afterAutospacing="0" w:line="240" w:lineRule="auto"/>
              <w:jc w:val="both"/>
              <w:rPr>
                <w:rFonts w:hint="eastAsia" w:ascii="宋体" w:hAnsi="宋体" w:eastAsia="宋体" w:cs="宋体"/>
                <w:spacing w:val="7"/>
                <w:sz w:val="21"/>
                <w:szCs w:val="21"/>
                <w:lang w:eastAsia="zh-CN"/>
              </w:rPr>
            </w:pPr>
            <w:r>
              <w:rPr>
                <w:rFonts w:hint="eastAsia" w:ascii="宋体" w:hAnsi="宋体" w:cs="宋体"/>
                <w:spacing w:val="7"/>
                <w:sz w:val="21"/>
                <w:szCs w:val="21"/>
              </w:rPr>
              <w:t>5.对于系统故障，要求提供快速响应机制，满足医院业务连续性要求</w:t>
            </w:r>
            <w:r>
              <w:rPr>
                <w:rFonts w:hint="eastAsia" w:ascii="宋体" w:hAnsi="宋体" w:cs="宋体"/>
                <w:spacing w:val="7"/>
                <w:sz w:val="21"/>
                <w:szCs w:val="21"/>
                <w:lang w:eastAsia="zh-CN"/>
              </w:rPr>
              <w:t>。</w:t>
            </w:r>
          </w:p>
        </w:tc>
      </w:tr>
      <w:tr>
        <w:tblPrEx>
          <w:tblCellMar>
            <w:top w:w="0" w:type="dxa"/>
            <w:left w:w="108" w:type="dxa"/>
            <w:bottom w:w="0" w:type="dxa"/>
            <w:right w:w="108" w:type="dxa"/>
          </w:tblCellMar>
        </w:tblPrEx>
        <w:trPr>
          <w:trHeight w:val="435" w:hRule="atLeast"/>
          <w:jc w:val="center"/>
        </w:trPr>
        <w:tc>
          <w:tcPr>
            <w:tcW w:w="1063" w:type="dxa"/>
            <w:tcBorders>
              <w:top w:val="single" w:color="000000" w:sz="4" w:space="0"/>
              <w:left w:val="single" w:color="000000" w:sz="4" w:space="0"/>
              <w:bottom w:val="single" w:color="000000" w:sz="4" w:space="0"/>
              <w:right w:val="single" w:color="000000" w:sz="4" w:space="0"/>
            </w:tcBorders>
            <w:vAlign w:val="center"/>
          </w:tcPr>
          <w:p>
            <w:pPr>
              <w:pStyle w:val="23"/>
              <w:widowControl/>
              <w:wordWrap w:val="0"/>
              <w:spacing w:before="0" w:beforeAutospacing="0" w:after="0" w:afterAutospacing="0" w:line="240" w:lineRule="auto"/>
              <w:jc w:val="center"/>
              <w:rPr>
                <w:rFonts w:ascii="宋体" w:hAnsi="宋体" w:cs="宋体"/>
                <w:spacing w:val="7"/>
                <w:sz w:val="21"/>
                <w:szCs w:val="21"/>
              </w:rPr>
            </w:pPr>
            <w:r>
              <w:rPr>
                <w:rFonts w:hint="eastAsia" w:ascii="宋体" w:hAnsi="宋体" w:cs="宋体"/>
                <w:b/>
                <w:bCs/>
                <w:spacing w:val="7"/>
                <w:sz w:val="21"/>
                <w:szCs w:val="21"/>
              </w:rPr>
              <w:t>培训要求</w:t>
            </w:r>
          </w:p>
        </w:tc>
        <w:tc>
          <w:tcPr>
            <w:tcW w:w="8576" w:type="dxa"/>
            <w:tcBorders>
              <w:top w:val="single" w:color="000000" w:sz="4" w:space="0"/>
              <w:left w:val="single" w:color="000000" w:sz="4" w:space="0"/>
              <w:bottom w:val="single" w:color="000000" w:sz="4" w:space="0"/>
              <w:right w:val="single" w:color="000000" w:sz="4" w:space="0"/>
            </w:tcBorders>
            <w:vAlign w:val="center"/>
          </w:tcPr>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1.培训：培训对象包括系统管理员、医院管理人员、操作员，系统管理人员培训内容为系统中涉及的相关技术内容；医院管理人员培训内容为系统流程和相关管理思想；操作员为系统的操作培训。所有培训形成培训资料存档。</w:t>
            </w:r>
          </w:p>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2.根据医院的业务特点和用户认知程度不同，提出系统而有效的培训方案。</w:t>
            </w:r>
          </w:p>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3.根据医院的情况制定相关培训方案，课程设置等。包括培训资料、讲义等。</w:t>
            </w:r>
          </w:p>
          <w:p>
            <w:pPr>
              <w:pStyle w:val="23"/>
              <w:widowControl/>
              <w:wordWrap w:val="0"/>
              <w:spacing w:before="0" w:beforeAutospacing="0" w:after="0" w:afterAutospacing="0" w:line="240" w:lineRule="auto"/>
              <w:jc w:val="both"/>
              <w:rPr>
                <w:rFonts w:hint="eastAsia" w:ascii="宋体" w:hAnsi="宋体" w:cs="宋体"/>
                <w:spacing w:val="7"/>
                <w:sz w:val="21"/>
                <w:szCs w:val="21"/>
              </w:rPr>
            </w:pPr>
            <w:r>
              <w:rPr>
                <w:rFonts w:hint="eastAsia" w:ascii="宋体" w:hAnsi="宋体" w:cs="宋体"/>
                <w:spacing w:val="7"/>
                <w:sz w:val="21"/>
                <w:szCs w:val="21"/>
              </w:rPr>
              <w:t>4.所有的培训费用必须计入投标总价。</w:t>
            </w:r>
          </w:p>
        </w:tc>
      </w:tr>
    </w:tbl>
    <w:p>
      <w:pPr>
        <w:widowControl/>
        <w:spacing w:line="360" w:lineRule="auto"/>
        <w:jc w:val="left"/>
        <w:rPr>
          <w:rFonts w:hint="eastAsia" w:ascii="Times New Roman" w:hAnsi="Times New Roman" w:eastAsia="宋体" w:cs="Times New Roman"/>
          <w:b/>
          <w:bCs/>
          <w:highlight w:val="yellow"/>
          <w:lang w:val="en-US" w:eastAsia="zh-CN"/>
        </w:rPr>
      </w:pPr>
      <w:r>
        <w:rPr>
          <w:rFonts w:hint="eastAsia" w:cs="Times New Roman"/>
          <w:b/>
          <w:bCs/>
          <w:lang w:val="en-US" w:eastAsia="zh-CN"/>
        </w:rPr>
        <w:t>五</w:t>
      </w:r>
      <w:r>
        <w:rPr>
          <w:rFonts w:hint="eastAsia" w:ascii="Times New Roman" w:hAnsi="Times New Roman" w:eastAsia="宋体" w:cs="Times New Roman"/>
          <w:b/>
          <w:bCs/>
          <w:lang w:val="en-US" w:eastAsia="zh-CN"/>
        </w:rPr>
        <w:t>、临床营养诊疗系统功能要求</w:t>
      </w:r>
    </w:p>
    <w:tbl>
      <w:tblPr>
        <w:tblStyle w:val="28"/>
        <w:tblW w:w="53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548"/>
        <w:gridCol w:w="571"/>
        <w:gridCol w:w="947"/>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09" w:type="pc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序号</w:t>
            </w:r>
          </w:p>
        </w:tc>
        <w:tc>
          <w:tcPr>
            <w:tcW w:w="278" w:type="pct"/>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sz w:val="21"/>
                <w:szCs w:val="21"/>
              </w:rPr>
              <w:t>系统模块</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功能</w:t>
            </w:r>
          </w:p>
        </w:tc>
        <w:tc>
          <w:tcPr>
            <w:tcW w:w="3740" w:type="pc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sz w:val="21"/>
                <w:szCs w:val="21"/>
              </w:rPr>
              <w:t>1</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sz w:val="21"/>
                <w:szCs w:val="21"/>
              </w:rPr>
              <w:t>营养筛评工具</w:t>
            </w: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1.1筛查量表</w:t>
            </w:r>
            <w:r>
              <w:rPr>
                <w:rFonts w:ascii="宋体" w:hAnsi="宋体" w:cs="宋体"/>
                <w:sz w:val="21"/>
                <w:szCs w:val="21"/>
              </w:rPr>
              <w:t xml:space="preserve"> </w:t>
            </w:r>
          </w:p>
        </w:tc>
        <w:tc>
          <w:tcPr>
            <w:tcW w:w="3740" w:type="pct"/>
            <w:shd w:val="clear" w:color="auto" w:fill="auto"/>
            <w:vAlign w:val="center"/>
          </w:tcPr>
          <w:p>
            <w:pPr>
              <w:spacing w:line="240" w:lineRule="auto"/>
              <w:rPr>
                <w:rFonts w:ascii="宋体" w:hAnsi="宋体" w:cs="宋体"/>
                <w:sz w:val="21"/>
                <w:szCs w:val="21"/>
              </w:rPr>
            </w:pPr>
            <w:r>
              <w:rPr>
                <w:rFonts w:hint="eastAsia" w:ascii="宋体" w:hAnsi="宋体" w:cs="宋体"/>
                <w:sz w:val="21"/>
                <w:szCs w:val="21"/>
              </w:rPr>
              <w:t>系统支持提供不同年龄、不同病种患者的各种营养筛查评估量表、膳食调查、</w:t>
            </w:r>
            <w:r>
              <w:rPr>
                <w:rFonts w:hint="eastAsia" w:ascii="宋体" w:hAnsi="宋体" w:cs="宋体"/>
                <w:kern w:val="0"/>
                <w:sz w:val="21"/>
                <w:szCs w:val="21"/>
              </w:rPr>
              <w:t>儿童体格评估、孕期体格评估</w:t>
            </w:r>
            <w:r>
              <w:rPr>
                <w:rFonts w:hint="eastAsia" w:ascii="宋体" w:hAnsi="宋体" w:cs="宋体"/>
                <w:sz w:val="21"/>
                <w:szCs w:val="21"/>
              </w:rPr>
              <w:t>，筛查评估量表须包括：NRS2002、MUST、SGA、PG-SGA、STAMP、NUTRIC、MNA-SF、GLIM量表。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widowControl/>
              <w:spacing w:line="240" w:lineRule="auto"/>
              <w:textAlignment w:val="top"/>
              <w:rPr>
                <w:rFonts w:ascii="宋体" w:hAnsi="宋体" w:cs="宋体"/>
                <w:sz w:val="21"/>
                <w:szCs w:val="21"/>
              </w:rPr>
            </w:pPr>
            <w:r>
              <w:rPr>
                <w:rFonts w:hint="eastAsia" w:ascii="宋体" w:hAnsi="宋体" w:cs="宋体"/>
                <w:sz w:val="21"/>
                <w:szCs w:val="21"/>
                <w:shd w:val="clear" w:color="auto" w:fill="FFFFFF"/>
              </w:rPr>
              <w:t>▲</w:t>
            </w:r>
            <w:r>
              <w:rPr>
                <w:rFonts w:hint="eastAsia" w:ascii="宋体" w:hAnsi="宋体" w:cs="宋体"/>
                <w:b/>
                <w:bCs/>
                <w:kern w:val="0"/>
                <w:sz w:val="21"/>
                <w:szCs w:val="21"/>
                <w:lang w:bidi="ar"/>
              </w:rPr>
              <w:t>1.2营养评估</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支持根据患者实际营养摄入情况，体格评估数据、临床体征，给出营养诊断和处理意见，了解患者的病情概况制定营养治疗计划，须包括以下项目：</w:t>
            </w:r>
          </w:p>
          <w:p>
            <w:pPr>
              <w:spacing w:line="240" w:lineRule="auto"/>
              <w:rPr>
                <w:rFonts w:hint="eastAsia" w:ascii="宋体" w:hAnsi="宋体" w:cs="宋体"/>
                <w:sz w:val="21"/>
                <w:szCs w:val="21"/>
              </w:rPr>
            </w:pPr>
            <w:r>
              <w:rPr>
                <w:rFonts w:hint="eastAsia" w:ascii="宋体" w:hAnsi="宋体" w:cs="宋体"/>
                <w:sz w:val="21"/>
                <w:szCs w:val="21"/>
              </w:rPr>
              <w:t>1.营养摄入评估：当前营养摄入途径、经口营养摄入量、摄入量评估、影响经口摄入因素、主要问题持续时间、饮食习惯、食物过敏及不耐受、药物与饮食相互作用。</w:t>
            </w:r>
          </w:p>
          <w:p>
            <w:pPr>
              <w:spacing w:line="240" w:lineRule="auto"/>
              <w:rPr>
                <w:rFonts w:hint="eastAsia" w:ascii="宋体" w:hAnsi="宋体" w:cs="宋体"/>
                <w:sz w:val="21"/>
                <w:szCs w:val="21"/>
              </w:rPr>
            </w:pPr>
            <w:r>
              <w:rPr>
                <w:rFonts w:hint="eastAsia" w:ascii="宋体" w:hAnsi="宋体" w:cs="宋体"/>
                <w:sz w:val="21"/>
                <w:szCs w:val="21"/>
              </w:rPr>
              <w:t>2.体格评估：目前身高、目前体重、近期体重、腰围、臀围、腰臀比、上臂围、上臂肌围、三头肌皮褶厚度、右小腿围、左小腿围、握力。</w:t>
            </w:r>
          </w:p>
          <w:p>
            <w:pPr>
              <w:spacing w:line="240" w:lineRule="auto"/>
              <w:rPr>
                <w:rFonts w:hint="eastAsia" w:ascii="宋体" w:hAnsi="宋体" w:cs="宋体"/>
                <w:sz w:val="21"/>
                <w:szCs w:val="21"/>
              </w:rPr>
            </w:pPr>
            <w:r>
              <w:rPr>
                <w:rFonts w:hint="eastAsia" w:ascii="宋体" w:hAnsi="宋体" w:cs="宋体"/>
                <w:sz w:val="21"/>
                <w:szCs w:val="21"/>
              </w:rPr>
              <w:t>3.营养诊断：诊断结论、营养不良类型、营养不良病因、营养不良程度。</w:t>
            </w:r>
          </w:p>
          <w:p>
            <w:pPr>
              <w:spacing w:line="240" w:lineRule="auto"/>
              <w:rPr>
                <w:rFonts w:hint="eastAsia" w:ascii="宋体" w:hAnsi="宋体" w:cs="宋体"/>
                <w:sz w:val="21"/>
                <w:szCs w:val="21"/>
              </w:rPr>
            </w:pPr>
            <w:r>
              <w:rPr>
                <w:rFonts w:hint="eastAsia" w:ascii="宋体" w:hAnsi="宋体" w:cs="宋体"/>
                <w:sz w:val="21"/>
                <w:szCs w:val="21"/>
              </w:rPr>
              <w:t>4.营养治疗的目标供给量自动生成及可个性化调整。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widowControl/>
              <w:spacing w:line="240" w:lineRule="auto"/>
              <w:textAlignment w:val="top"/>
              <w:rPr>
                <w:rFonts w:ascii="宋体" w:hAnsi="宋体" w:cs="宋体"/>
                <w:sz w:val="21"/>
                <w:szCs w:val="21"/>
              </w:rPr>
            </w:pPr>
            <w:r>
              <w:rPr>
                <w:rFonts w:hint="eastAsia" w:ascii="宋体" w:hAnsi="宋体" w:cs="宋体"/>
                <w:sz w:val="21"/>
                <w:szCs w:val="21"/>
                <w:shd w:val="clear" w:color="auto" w:fill="FFFFFF"/>
              </w:rPr>
              <w:t>▲</w:t>
            </w:r>
            <w:r>
              <w:rPr>
                <w:rFonts w:hint="eastAsia" w:ascii="宋体" w:hAnsi="宋体" w:cs="宋体"/>
                <w:b/>
                <w:bCs/>
                <w:kern w:val="0"/>
                <w:sz w:val="21"/>
                <w:szCs w:val="21"/>
                <w:lang w:bidi="ar"/>
              </w:rPr>
              <w:t>1.3膳食调查</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1.支持根据患者食物类的实际摄入量，计算出能量、蛋白质、碳水化合物、脂肪等营养分析，最后生成分析报告可打印。</w:t>
            </w:r>
          </w:p>
          <w:p>
            <w:pPr>
              <w:spacing w:line="240" w:lineRule="auto"/>
              <w:rPr>
                <w:rFonts w:hint="eastAsia" w:ascii="宋体" w:hAnsi="宋体" w:cs="宋体"/>
                <w:sz w:val="21"/>
                <w:szCs w:val="21"/>
              </w:rPr>
            </w:pPr>
            <w:r>
              <w:rPr>
                <w:rFonts w:hint="eastAsia" w:ascii="宋体" w:hAnsi="宋体" w:cs="宋体"/>
                <w:sz w:val="21"/>
                <w:szCs w:val="21"/>
              </w:rPr>
              <w:t>2.膳食调查系统需提供包括：24h膳食调查和简明膳食自评工具。</w:t>
            </w:r>
          </w:p>
          <w:p>
            <w:pPr>
              <w:spacing w:line="240" w:lineRule="auto"/>
              <w:rPr>
                <w:rFonts w:hint="eastAsia" w:ascii="宋体" w:hAnsi="宋体" w:cs="宋体"/>
                <w:sz w:val="21"/>
                <w:szCs w:val="21"/>
              </w:rPr>
            </w:pPr>
            <w:r>
              <w:rPr>
                <w:rFonts w:hint="eastAsia" w:ascii="宋体" w:hAnsi="宋体" w:cs="宋体"/>
                <w:sz w:val="21"/>
                <w:szCs w:val="21"/>
              </w:rPr>
              <w:t>3.通过询问调查对象过去24小时实际膳食摄入情况，对其食物摄入量进行计算得出患者营养摄入量具体指标，营养师可查询要添加的食物，也可调整食物用量。最后保存生成24小时膳食调查报告。</w:t>
            </w:r>
          </w:p>
          <w:p>
            <w:pPr>
              <w:spacing w:line="240" w:lineRule="auto"/>
              <w:rPr>
                <w:rFonts w:hint="eastAsia" w:ascii="宋体" w:hAnsi="宋体" w:cs="宋体"/>
                <w:sz w:val="21"/>
                <w:szCs w:val="21"/>
              </w:rPr>
            </w:pPr>
            <w:r>
              <w:rPr>
                <w:rFonts w:hint="eastAsia" w:ascii="宋体" w:hAnsi="宋体" w:cs="宋体"/>
                <w:sz w:val="21"/>
                <w:szCs w:val="21"/>
              </w:rPr>
              <w:t>4.简明膳食自评工具：根据患者饮食特点发明的，将患者的饮食分为多种饮食模式并进行评分，从而快速了解患者饮食摄入量范围，为临床治疗的量化打下基础。相较于传统膳食调查方法更加容易操作、快速。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pStyle w:val="27"/>
              <w:spacing w:line="240" w:lineRule="auto"/>
              <w:ind w:left="0" w:leftChars="0" w:firstLine="0" w:firstLineChars="0"/>
              <w:jc w:val="center"/>
              <w:rPr>
                <w:rFonts w:ascii="宋体" w:hAnsi="宋体" w:cs="宋体"/>
                <w:sz w:val="21"/>
                <w:szCs w:val="21"/>
                <w:lang w:val="en-US" w:eastAsia="zh-CN"/>
              </w:rPr>
            </w:pPr>
            <w:r>
              <w:rPr>
                <w:rFonts w:hint="eastAsia" w:ascii="宋体" w:hAnsi="宋体" w:cs="宋体"/>
                <w:b/>
                <w:bCs/>
                <w:kern w:val="0"/>
                <w:sz w:val="21"/>
                <w:szCs w:val="21"/>
                <w:lang w:val="en-US" w:eastAsia="zh-CN"/>
              </w:rPr>
              <w:t>1.4儿童</w:t>
            </w:r>
            <w:r>
              <w:rPr>
                <w:rFonts w:hint="eastAsia" w:ascii="宋体" w:hAnsi="宋体" w:cs="宋体"/>
                <w:b/>
                <w:bCs/>
                <w:kern w:val="0"/>
                <w:sz w:val="21"/>
                <w:szCs w:val="21"/>
              </w:rPr>
              <w:t>体格评估</w:t>
            </w:r>
          </w:p>
        </w:tc>
        <w:tc>
          <w:tcPr>
            <w:tcW w:w="3740" w:type="pct"/>
            <w:shd w:val="clear" w:color="auto" w:fill="auto"/>
            <w:tcMar>
              <w:top w:w="0" w:type="dxa"/>
              <w:left w:w="57" w:type="dxa"/>
              <w:bottom w:w="0" w:type="dxa"/>
              <w:right w:w="57" w:type="dxa"/>
            </w:tcMar>
            <w:vAlign w:val="center"/>
          </w:tcPr>
          <w:p>
            <w:pPr>
              <w:spacing w:line="240" w:lineRule="auto"/>
              <w:rPr>
                <w:rFonts w:hint="eastAsia" w:ascii="宋体" w:hAnsi="宋体" w:cs="宋体"/>
                <w:sz w:val="21"/>
                <w:szCs w:val="21"/>
              </w:rPr>
            </w:pPr>
            <w:r>
              <w:rPr>
                <w:rFonts w:hint="eastAsia" w:ascii="宋体" w:hAnsi="宋体" w:cs="宋体"/>
                <w:sz w:val="21"/>
                <w:szCs w:val="21"/>
              </w:rPr>
              <w:t>1.支持登记儿童的体格数据，包括身长（高）、体重、出生身长、出生体重、头围、胸围、中上臂臂围、三头肌皮褶厚度、肩胛下皮褶厚度。</w:t>
            </w:r>
          </w:p>
          <w:p>
            <w:pPr>
              <w:spacing w:line="240" w:lineRule="auto"/>
              <w:rPr>
                <w:rFonts w:hint="eastAsia" w:ascii="宋体" w:hAnsi="宋体" w:cs="宋体"/>
                <w:sz w:val="21"/>
                <w:szCs w:val="21"/>
              </w:rPr>
            </w:pPr>
            <w:r>
              <w:rPr>
                <w:rFonts w:hint="eastAsia" w:ascii="宋体" w:hAnsi="宋体" w:cs="宋体"/>
                <w:sz w:val="21"/>
                <w:szCs w:val="21"/>
              </w:rPr>
              <w:t>2.系统支持自动根据WHO官方数据及评估方法，进行Z评分和P评分。</w:t>
            </w:r>
          </w:p>
          <w:p>
            <w:pPr>
              <w:spacing w:line="240" w:lineRule="auto"/>
              <w:rPr>
                <w:rFonts w:hint="eastAsia" w:ascii="宋体" w:hAnsi="宋体" w:cs="宋体"/>
                <w:sz w:val="21"/>
                <w:szCs w:val="21"/>
              </w:rPr>
            </w:pPr>
            <w:r>
              <w:rPr>
                <w:rFonts w:hint="eastAsia" w:ascii="宋体" w:hAnsi="宋体" w:cs="宋体"/>
                <w:sz w:val="21"/>
                <w:szCs w:val="21"/>
              </w:rPr>
              <w:t>3.支持自动生成系统标准的体格发育标准图表及实际体格数据历次变化趋势，图表支持打印。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kern w:val="0"/>
                <w:sz w:val="21"/>
                <w:szCs w:val="21"/>
              </w:rPr>
              <w:t>1.5孕期体格评估</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1.支持对孕妇每个孕周的体重进行记录。</w:t>
            </w:r>
          </w:p>
          <w:p>
            <w:pPr>
              <w:spacing w:line="240" w:lineRule="auto"/>
              <w:rPr>
                <w:rFonts w:hint="eastAsia" w:ascii="宋体" w:hAnsi="宋体" w:cs="宋体"/>
                <w:sz w:val="21"/>
                <w:szCs w:val="21"/>
              </w:rPr>
            </w:pPr>
            <w:r>
              <w:rPr>
                <w:rFonts w:hint="eastAsia" w:ascii="宋体" w:hAnsi="宋体" w:cs="宋体"/>
                <w:sz w:val="21"/>
                <w:szCs w:val="21"/>
              </w:rPr>
              <w:t>2.系统自动对当前孕周的孕妇实际体重与理论标准体重进行对比分析，后去孕妇孕期体重变化情况。</w:t>
            </w:r>
          </w:p>
          <w:p>
            <w:pPr>
              <w:spacing w:line="240" w:lineRule="auto"/>
              <w:rPr>
                <w:rFonts w:hint="eastAsia" w:ascii="宋体" w:hAnsi="宋体" w:cs="宋体"/>
                <w:sz w:val="21"/>
                <w:szCs w:val="21"/>
              </w:rPr>
            </w:pPr>
            <w:r>
              <w:rPr>
                <w:rFonts w:hint="eastAsia" w:ascii="宋体" w:hAnsi="宋体" w:cs="宋体"/>
                <w:sz w:val="21"/>
                <w:szCs w:val="21"/>
              </w:rPr>
              <w:t>3.自动生成系统标准的体重增长曲线图及患者历次体重增长曲线图，孕期体重增长曲线图可打印。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sz w:val="21"/>
                <w:szCs w:val="21"/>
              </w:rPr>
              <w:t>2</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sz w:val="21"/>
                <w:szCs w:val="21"/>
              </w:rPr>
              <w:t>营养治疗</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2.1营养配餐</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1.支持根据患者的饮食医嘱、营养筛查评分、年龄段、疾病诊断给患者配1-7日的营养食谱，系统包含中国最新的食物成分表。</w:t>
            </w:r>
          </w:p>
          <w:p>
            <w:pPr>
              <w:spacing w:line="240" w:lineRule="auto"/>
              <w:rPr>
                <w:rFonts w:hint="eastAsia" w:ascii="宋体" w:hAnsi="宋体" w:cs="宋体"/>
                <w:sz w:val="21"/>
                <w:szCs w:val="21"/>
              </w:rPr>
            </w:pPr>
            <w:r>
              <w:rPr>
                <w:rFonts w:hint="eastAsia" w:ascii="宋体" w:hAnsi="宋体" w:cs="宋体"/>
                <w:sz w:val="21"/>
                <w:szCs w:val="21"/>
              </w:rPr>
              <w:t>2.经典食谱库含有多种疾病多套不同能量段食谱便于调用。</w:t>
            </w:r>
          </w:p>
          <w:p>
            <w:pPr>
              <w:spacing w:line="240" w:lineRule="auto"/>
              <w:rPr>
                <w:rFonts w:hint="eastAsia" w:ascii="宋体" w:hAnsi="宋体" w:cs="宋体"/>
                <w:sz w:val="21"/>
                <w:szCs w:val="21"/>
              </w:rPr>
            </w:pPr>
            <w:r>
              <w:rPr>
                <w:rFonts w:hint="eastAsia" w:ascii="宋体" w:hAnsi="宋体" w:cs="宋体"/>
                <w:sz w:val="21"/>
                <w:szCs w:val="21"/>
              </w:rPr>
              <w:t>3.会依据配餐种类计算出营养摄入量供营养师参考。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b/>
                <w:bCs/>
                <w:sz w:val="21"/>
                <w:szCs w:val="21"/>
              </w:rPr>
              <w:t>2.2交换份配餐</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1.系统支持食物交换份法配餐，将日常常用的食物按所含营养素的特点进行分类，营养师依据患者的食物类别，计算出每份食物的营养素和能量的含量。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2.3肠内营养处方</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1.支持根据患者的营养诊断进行营养干预，具备选择成品处方和配置处方；长期或临时处方。</w:t>
            </w:r>
          </w:p>
          <w:p>
            <w:pPr>
              <w:spacing w:line="240" w:lineRule="auto"/>
              <w:rPr>
                <w:rFonts w:hint="eastAsia" w:ascii="宋体" w:hAnsi="宋体" w:cs="宋体"/>
                <w:sz w:val="21"/>
                <w:szCs w:val="21"/>
              </w:rPr>
            </w:pPr>
            <w:r>
              <w:rPr>
                <w:rFonts w:hint="eastAsia" w:ascii="宋体" w:hAnsi="宋体" w:cs="宋体"/>
                <w:sz w:val="21"/>
                <w:szCs w:val="21"/>
              </w:rPr>
              <w:t>2.支持设置经典处方，下达处方时填入处方用量、途径、喂养方式、频率、液量、备注等，点击下达会自动计算出该处方的营养素分析。</w:t>
            </w:r>
          </w:p>
          <w:p>
            <w:pPr>
              <w:spacing w:line="240" w:lineRule="auto"/>
              <w:rPr>
                <w:rFonts w:hint="eastAsia" w:ascii="宋体" w:hAnsi="宋体" w:cs="宋体"/>
                <w:sz w:val="21"/>
                <w:szCs w:val="21"/>
              </w:rPr>
            </w:pPr>
            <w:r>
              <w:rPr>
                <w:rFonts w:hint="eastAsia" w:ascii="宋体" w:hAnsi="宋体" w:cs="宋体"/>
                <w:sz w:val="21"/>
                <w:szCs w:val="21"/>
              </w:rPr>
              <w:t>3.支持在肠内历次处方查看患者的处方状态，执行时间，处方明细。也可调用处方。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b/>
                <w:bCs/>
                <w:sz w:val="21"/>
                <w:szCs w:val="21"/>
              </w:rPr>
              <w:t>2.4肿瘤患者智能化营养处方</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系统支持针对不同肿瘤患者的生化、血液指标，可精准计算出患者个体化的营养推荐值，推荐范围涵盖能量、三大产能营养素、宏量及微量营养素，满足肿瘤患者、疾病个体化营养素摄入需求，并可人工修改。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pStyle w:val="23"/>
              <w:widowControl/>
              <w:spacing w:before="0" w:beforeAutospacing="0" w:after="0" w:afterAutospacing="0" w:line="240" w:lineRule="auto"/>
              <w:jc w:val="center"/>
              <w:rPr>
                <w:rFonts w:ascii="宋体" w:hAnsi="宋体" w:cs="宋体"/>
                <w:b/>
                <w:bCs/>
                <w:sz w:val="21"/>
                <w:szCs w:val="21"/>
              </w:rPr>
            </w:pPr>
            <w:r>
              <w:rPr>
                <w:rFonts w:hint="eastAsia" w:ascii="宋体" w:hAnsi="宋体" w:cs="宋体"/>
                <w:b/>
                <w:bCs/>
                <w:sz w:val="21"/>
                <w:szCs w:val="21"/>
              </w:rPr>
              <w:t>2.5肠外营养</w:t>
            </w:r>
          </w:p>
        </w:tc>
        <w:tc>
          <w:tcPr>
            <w:tcW w:w="3740" w:type="pct"/>
            <w:shd w:val="clear" w:color="auto" w:fill="auto"/>
            <w:tcMar>
              <w:top w:w="0" w:type="dxa"/>
              <w:left w:w="57" w:type="dxa"/>
              <w:bottom w:w="0" w:type="dxa"/>
              <w:right w:w="57" w:type="dxa"/>
            </w:tcMar>
            <w:vAlign w:val="center"/>
          </w:tcPr>
          <w:p>
            <w:pPr>
              <w:spacing w:line="240" w:lineRule="auto"/>
              <w:rPr>
                <w:rFonts w:hint="eastAsia" w:ascii="宋体" w:hAnsi="宋体" w:cs="宋体"/>
                <w:sz w:val="21"/>
                <w:szCs w:val="21"/>
              </w:rPr>
            </w:pPr>
            <w:r>
              <w:rPr>
                <w:rFonts w:hint="eastAsia" w:ascii="宋体" w:hAnsi="宋体" w:cs="宋体"/>
                <w:sz w:val="21"/>
                <w:szCs w:val="21"/>
              </w:rPr>
              <w:t>1.支持自动提取HIS系统患者医嘱里使用的肠外营养处方并自动计算能量和营养素的摄入量。</w:t>
            </w:r>
          </w:p>
          <w:p>
            <w:pPr>
              <w:spacing w:line="240" w:lineRule="auto"/>
              <w:rPr>
                <w:rFonts w:hint="eastAsia" w:ascii="宋体" w:hAnsi="宋体" w:cs="宋体"/>
                <w:sz w:val="21"/>
                <w:szCs w:val="21"/>
              </w:rPr>
            </w:pPr>
            <w:r>
              <w:rPr>
                <w:rFonts w:hint="eastAsia" w:ascii="宋体" w:hAnsi="宋体" w:cs="宋体"/>
                <w:sz w:val="21"/>
                <w:szCs w:val="21"/>
              </w:rPr>
              <w:t>2.支持维护常用制剂和经典处方，对产品的增加及时更新。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2.6运动处方</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1.支持根据患者信息，系统自动测评运动体质状况。</w:t>
            </w:r>
          </w:p>
          <w:p>
            <w:pPr>
              <w:spacing w:line="240" w:lineRule="auto"/>
              <w:rPr>
                <w:rFonts w:hint="eastAsia" w:ascii="宋体" w:hAnsi="宋体" w:cs="宋体"/>
                <w:sz w:val="21"/>
                <w:szCs w:val="21"/>
              </w:rPr>
            </w:pPr>
            <w:r>
              <w:rPr>
                <w:rFonts w:hint="eastAsia" w:ascii="宋体" w:hAnsi="宋体" w:cs="宋体"/>
                <w:sz w:val="21"/>
                <w:szCs w:val="21"/>
              </w:rPr>
              <w:t>2.结合膳食摄入分析，通过运动能量消耗的方式改善患者的营养状况。系统支持提供全面的能量消耗评价，供营养师下达运动处方建议。</w:t>
            </w:r>
          </w:p>
          <w:p>
            <w:pPr>
              <w:spacing w:line="240" w:lineRule="auto"/>
              <w:rPr>
                <w:rFonts w:hint="eastAsia" w:ascii="宋体" w:hAnsi="宋体" w:cs="宋体"/>
                <w:sz w:val="21"/>
                <w:szCs w:val="21"/>
              </w:rPr>
            </w:pPr>
            <w:r>
              <w:rPr>
                <w:rFonts w:hint="eastAsia" w:ascii="宋体" w:hAnsi="宋体" w:cs="宋体"/>
                <w:sz w:val="21"/>
                <w:szCs w:val="21"/>
              </w:rPr>
              <w:t>3.运动种类齐全，罗列常见运动项目，包含了走路、跑步、体育运动、核心运动、调节运动、孕期运动。每种运动项目都给出了标准的运动消耗，在进行运动干预时，方便营养师进行实时查看。</w:t>
            </w:r>
          </w:p>
          <w:p>
            <w:pPr>
              <w:spacing w:line="240" w:lineRule="auto"/>
              <w:rPr>
                <w:rFonts w:hint="eastAsia" w:ascii="宋体" w:hAnsi="宋体" w:cs="宋体"/>
                <w:sz w:val="21"/>
                <w:szCs w:val="21"/>
              </w:rPr>
            </w:pPr>
            <w:r>
              <w:rPr>
                <w:rFonts w:hint="eastAsia" w:ascii="宋体" w:hAnsi="宋体" w:cs="宋体"/>
                <w:sz w:val="21"/>
                <w:szCs w:val="21"/>
              </w:rPr>
              <w:t>4.支持维护运动处方模板，状况相似的患者可直接调用经典处方。计算摄入量、基础代谢与运动消耗，系统自动测算1个月后的预计减重公斤数。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b/>
                <w:bCs/>
                <w:sz w:val="21"/>
                <w:szCs w:val="21"/>
              </w:rPr>
              <w:t>2.7营养治疗原则</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支持针对不同病种预置了各种治疗原则模板，营养师可调用模板再进行设置和添加，方便营养师可快速给出治疗原则嘱托.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b/>
                <w:bCs/>
                <w:sz w:val="21"/>
                <w:szCs w:val="21"/>
              </w:rPr>
              <w:t>2.8营养宣教</w:t>
            </w:r>
          </w:p>
        </w:tc>
        <w:tc>
          <w:tcPr>
            <w:tcW w:w="3740" w:type="pct"/>
            <w:shd w:val="clear" w:color="auto" w:fill="auto"/>
            <w:tcMar>
              <w:top w:w="0" w:type="dxa"/>
              <w:left w:w="57" w:type="dxa"/>
              <w:bottom w:w="0" w:type="dxa"/>
              <w:right w:w="57" w:type="dxa"/>
            </w:tcMar>
          </w:tcPr>
          <w:p>
            <w:pPr>
              <w:spacing w:line="240" w:lineRule="auto"/>
              <w:rPr>
                <w:rFonts w:hint="eastAsia" w:ascii="宋体" w:hAnsi="宋体" w:cs="宋体"/>
                <w:sz w:val="21"/>
                <w:szCs w:val="21"/>
              </w:rPr>
            </w:pPr>
            <w:r>
              <w:rPr>
                <w:rFonts w:hint="eastAsia" w:ascii="宋体" w:hAnsi="宋体" w:cs="宋体"/>
                <w:sz w:val="21"/>
                <w:szCs w:val="21"/>
              </w:rPr>
              <w:t>改变人们的饮食行为和生活方式达到改善营养状况为目的的一种有计划的活动，1.宣教内容包括中国居民饮食指南，患者围手术期，治疗过程中、康复期的饮食指导。</w:t>
            </w:r>
          </w:p>
          <w:p>
            <w:pPr>
              <w:spacing w:line="240" w:lineRule="auto"/>
              <w:rPr>
                <w:rFonts w:hint="eastAsia" w:ascii="宋体" w:hAnsi="宋体" w:cs="宋体"/>
                <w:sz w:val="21"/>
                <w:szCs w:val="21"/>
              </w:rPr>
            </w:pPr>
            <w:r>
              <w:rPr>
                <w:rFonts w:hint="eastAsia" w:ascii="宋体" w:hAnsi="宋体" w:cs="宋体"/>
                <w:sz w:val="21"/>
                <w:szCs w:val="21"/>
              </w:rPr>
              <w:t>2.预置多种不同病种的宣教模板，营养师可调用模板进行调整。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3</w:t>
            </w:r>
          </w:p>
        </w:tc>
        <w:tc>
          <w:tcPr>
            <w:tcW w:w="278" w:type="pct"/>
            <w:vMerge w:val="restart"/>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sz w:val="21"/>
                <w:szCs w:val="21"/>
              </w:rPr>
              <w:t>门诊模块</w:t>
            </w:r>
          </w:p>
        </w:tc>
        <w:tc>
          <w:tcPr>
            <w:tcW w:w="771" w:type="pct"/>
            <w:gridSpan w:val="2"/>
            <w:shd w:val="clear" w:color="auto" w:fill="auto"/>
            <w:tcMar>
              <w:top w:w="0" w:type="dxa"/>
              <w:left w:w="57" w:type="dxa"/>
              <w:bottom w:w="0" w:type="dxa"/>
              <w:right w:w="57" w:type="dxa"/>
            </w:tcMar>
          </w:tcPr>
          <w:p>
            <w:pPr>
              <w:widowControl/>
              <w:spacing w:line="240" w:lineRule="auto"/>
              <w:textAlignment w:val="center"/>
              <w:rPr>
                <w:rFonts w:ascii="宋体" w:hAnsi="宋体" w:cs="宋体"/>
                <w:b/>
                <w:bCs/>
                <w:sz w:val="21"/>
                <w:szCs w:val="21"/>
              </w:rPr>
            </w:pPr>
            <w:r>
              <w:rPr>
                <w:rFonts w:hint="eastAsia" w:ascii="宋体" w:hAnsi="宋体" w:cs="宋体"/>
                <w:b/>
                <w:bCs/>
                <w:kern w:val="0"/>
                <w:sz w:val="21"/>
                <w:szCs w:val="21"/>
              </w:rPr>
              <w:t>3.1待诊工作台</w:t>
            </w:r>
          </w:p>
        </w:tc>
        <w:tc>
          <w:tcPr>
            <w:tcW w:w="3740" w:type="pct"/>
            <w:shd w:val="clear" w:color="auto" w:fill="auto"/>
            <w:tcMar>
              <w:top w:w="0" w:type="dxa"/>
              <w:left w:w="57" w:type="dxa"/>
              <w:bottom w:w="0" w:type="dxa"/>
              <w:right w:w="57" w:type="dxa"/>
            </w:tcMar>
          </w:tcPr>
          <w:p>
            <w:pPr>
              <w:spacing w:line="240" w:lineRule="auto"/>
              <w:ind w:left="-11"/>
              <w:rPr>
                <w:rFonts w:ascii="宋体" w:hAnsi="宋体" w:cs="宋体"/>
                <w:kern w:val="0"/>
                <w:sz w:val="21"/>
                <w:szCs w:val="21"/>
              </w:rPr>
            </w:pPr>
            <w:r>
              <w:rPr>
                <w:rFonts w:hint="eastAsia" w:ascii="宋体" w:hAnsi="宋体" w:cs="宋体"/>
                <w:kern w:val="0"/>
                <w:sz w:val="21"/>
                <w:szCs w:val="21"/>
              </w:rPr>
              <w:t>1.支持与医院HIS系统对接读取临床营养科挂号患者信息；</w:t>
            </w:r>
          </w:p>
          <w:p>
            <w:pPr>
              <w:spacing w:line="240" w:lineRule="auto"/>
              <w:ind w:left="-11"/>
              <w:rPr>
                <w:rFonts w:ascii="宋体" w:hAnsi="宋体" w:cs="宋体"/>
                <w:kern w:val="0"/>
                <w:sz w:val="21"/>
                <w:szCs w:val="21"/>
              </w:rPr>
            </w:pPr>
            <w:r>
              <w:rPr>
                <w:rFonts w:hint="eastAsia" w:ascii="宋体" w:hAnsi="宋体" w:cs="宋体"/>
                <w:kern w:val="0"/>
                <w:sz w:val="21"/>
                <w:szCs w:val="21"/>
              </w:rPr>
              <w:t>可支持手动添加患者，通过手工填写门诊患者信息生成门诊患者。</w:t>
            </w:r>
          </w:p>
          <w:p>
            <w:pPr>
              <w:spacing w:line="240" w:lineRule="auto"/>
              <w:rPr>
                <w:rFonts w:ascii="宋体" w:hAnsi="宋体" w:cs="宋体"/>
                <w:sz w:val="21"/>
                <w:szCs w:val="21"/>
              </w:rPr>
            </w:pPr>
            <w:r>
              <w:rPr>
                <w:rFonts w:hint="eastAsia" w:ascii="宋体" w:hAnsi="宋体" w:cs="宋体"/>
                <w:kern w:val="0"/>
                <w:sz w:val="21"/>
                <w:szCs w:val="21"/>
              </w:rPr>
              <w:t>2.待诊患者列表，可根据门诊号或姓名快速查到患者。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tcPr>
          <w:p>
            <w:pPr>
              <w:widowControl/>
              <w:spacing w:line="240" w:lineRule="auto"/>
              <w:jc w:val="center"/>
              <w:textAlignment w:val="center"/>
              <w:rPr>
                <w:rFonts w:ascii="宋体" w:hAnsi="宋体" w:cs="宋体"/>
                <w:b/>
                <w:bCs/>
                <w:sz w:val="21"/>
                <w:szCs w:val="21"/>
              </w:rPr>
            </w:pPr>
            <w:r>
              <w:rPr>
                <w:rFonts w:hint="eastAsia" w:ascii="宋体" w:hAnsi="宋体" w:cs="宋体"/>
                <w:b/>
                <w:bCs/>
                <w:kern w:val="0"/>
                <w:sz w:val="21"/>
                <w:szCs w:val="21"/>
              </w:rPr>
              <w:t>3.2既往门诊一览表</w:t>
            </w:r>
          </w:p>
        </w:tc>
        <w:tc>
          <w:tcPr>
            <w:tcW w:w="3740" w:type="pct"/>
            <w:shd w:val="clear" w:color="auto" w:fill="auto"/>
            <w:tcMar>
              <w:top w:w="0" w:type="dxa"/>
              <w:left w:w="57" w:type="dxa"/>
              <w:bottom w:w="0" w:type="dxa"/>
              <w:right w:w="57" w:type="dxa"/>
            </w:tcMar>
          </w:tcPr>
          <w:p>
            <w:pPr>
              <w:spacing w:line="240" w:lineRule="auto"/>
              <w:rPr>
                <w:rFonts w:ascii="宋体" w:hAnsi="宋体" w:cs="宋体"/>
                <w:kern w:val="0"/>
                <w:sz w:val="21"/>
                <w:szCs w:val="21"/>
              </w:rPr>
            </w:pPr>
            <w:r>
              <w:rPr>
                <w:rFonts w:hint="eastAsia" w:ascii="宋体" w:hAnsi="宋体" w:cs="宋体"/>
                <w:kern w:val="0"/>
                <w:sz w:val="21"/>
                <w:szCs w:val="21"/>
              </w:rPr>
              <w:t>1.支持查看待诊患者既往门诊的一览情况</w:t>
            </w:r>
          </w:p>
          <w:p>
            <w:pPr>
              <w:spacing w:line="240" w:lineRule="auto"/>
              <w:rPr>
                <w:rFonts w:ascii="宋体" w:hAnsi="宋体" w:cs="宋体"/>
                <w:kern w:val="0"/>
                <w:sz w:val="21"/>
                <w:szCs w:val="21"/>
              </w:rPr>
            </w:pPr>
            <w:r>
              <w:rPr>
                <w:rFonts w:hint="eastAsia" w:ascii="宋体" w:hAnsi="宋体" w:cs="宋体"/>
                <w:kern w:val="0"/>
                <w:sz w:val="21"/>
                <w:szCs w:val="21"/>
              </w:rPr>
              <w:t>2.既往门诊查看，支持诊前快速了解前期门诊情况。既往评估过的量表分数、测量过的体格指标、实验室指标的数据趋势图。</w:t>
            </w:r>
          </w:p>
          <w:p>
            <w:pPr>
              <w:spacing w:line="240" w:lineRule="auto"/>
              <w:rPr>
                <w:rFonts w:ascii="宋体" w:hAnsi="宋体" w:cs="宋体"/>
                <w:sz w:val="21"/>
                <w:szCs w:val="21"/>
              </w:rPr>
            </w:pPr>
            <w:r>
              <w:rPr>
                <w:rFonts w:hint="eastAsia" w:ascii="宋体" w:hAnsi="宋体" w:cs="宋体"/>
                <w:kern w:val="0"/>
                <w:sz w:val="21"/>
                <w:szCs w:val="21"/>
              </w:rPr>
              <w:t>3.支持自定义患者营养指标作为重点关注而显示到界面中。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3.3筛评量表</w:t>
            </w:r>
          </w:p>
        </w:tc>
        <w:tc>
          <w:tcPr>
            <w:tcW w:w="3740" w:type="pct"/>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r>
              <w:rPr>
                <w:rFonts w:hint="eastAsia" w:ascii="宋体" w:hAnsi="宋体" w:cs="宋体"/>
                <w:sz w:val="21"/>
                <w:szCs w:val="21"/>
              </w:rPr>
              <w:t>门诊模块至少提供筛查评估量表，包括：NRS2002、MUST、SGA、PG-SGA、STAMP、MNA-SF。(</w:t>
            </w:r>
            <w:r>
              <w:rPr>
                <w:rFonts w:hint="eastAsia" w:ascii="宋体" w:hAnsi="宋体" w:cs="宋体"/>
                <w:b/>
                <w:bCs/>
                <w:sz w:val="21"/>
                <w:szCs w:val="21"/>
              </w:rPr>
              <w:t>功能要求见1.1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3.4营养筛评工具</w:t>
            </w:r>
          </w:p>
        </w:tc>
        <w:tc>
          <w:tcPr>
            <w:tcW w:w="3740" w:type="pct"/>
            <w:shd w:val="clear" w:color="auto" w:fill="auto"/>
            <w:tcMar>
              <w:top w:w="0" w:type="dxa"/>
              <w:left w:w="57" w:type="dxa"/>
              <w:bottom w:w="0" w:type="dxa"/>
              <w:right w:w="57" w:type="dxa"/>
            </w:tcMar>
          </w:tcPr>
          <w:p>
            <w:pPr>
              <w:pStyle w:val="86"/>
              <w:spacing w:line="240" w:lineRule="auto"/>
              <w:ind w:firstLine="0" w:firstLineChars="0"/>
              <w:rPr>
                <w:rFonts w:ascii="宋体" w:hAnsi="宋体" w:cs="宋体"/>
                <w:sz w:val="21"/>
                <w:szCs w:val="21"/>
              </w:rPr>
            </w:pPr>
            <w:r>
              <w:rPr>
                <w:rFonts w:hint="eastAsia" w:ascii="宋体" w:hAnsi="宋体" w:cs="宋体"/>
                <w:sz w:val="21"/>
                <w:szCs w:val="21"/>
              </w:rPr>
              <w:t>1.门诊模块需提供体格评估功能，包括：儿童体格评估、孕期体格评估。(</w:t>
            </w:r>
            <w:r>
              <w:rPr>
                <w:rFonts w:hint="eastAsia" w:ascii="宋体" w:hAnsi="宋体" w:cs="宋体"/>
                <w:b/>
                <w:bCs/>
                <w:sz w:val="21"/>
                <w:szCs w:val="21"/>
              </w:rPr>
              <w:t>功能要求见1.4、1.5</w:t>
            </w:r>
            <w:r>
              <w:rPr>
                <w:rFonts w:hint="eastAsia" w:ascii="宋体" w:hAnsi="宋体" w:cs="宋体"/>
                <w:sz w:val="21"/>
                <w:szCs w:val="21"/>
              </w:rPr>
              <w:t>).</w:t>
            </w:r>
          </w:p>
          <w:p>
            <w:pPr>
              <w:pStyle w:val="86"/>
              <w:spacing w:line="240" w:lineRule="auto"/>
              <w:ind w:firstLine="0" w:firstLineChars="0"/>
              <w:rPr>
                <w:rFonts w:ascii="宋体" w:hAnsi="宋体" w:cs="宋体"/>
                <w:sz w:val="21"/>
                <w:szCs w:val="21"/>
              </w:rPr>
            </w:pPr>
            <w:r>
              <w:rPr>
                <w:rFonts w:hint="eastAsia" w:ascii="宋体" w:hAnsi="宋体" w:cs="宋体"/>
                <w:sz w:val="21"/>
                <w:szCs w:val="21"/>
              </w:rPr>
              <w:t>2.门诊模块需提供营养评估功能。(</w:t>
            </w:r>
            <w:r>
              <w:rPr>
                <w:rFonts w:hint="eastAsia" w:ascii="宋体" w:hAnsi="宋体" w:cs="宋体"/>
                <w:b/>
                <w:bCs/>
                <w:sz w:val="21"/>
                <w:szCs w:val="21"/>
              </w:rPr>
              <w:t>功能要求见1.2</w:t>
            </w:r>
            <w:r>
              <w:rPr>
                <w:rFonts w:hint="eastAsia" w:ascii="宋体" w:hAnsi="宋体" w:cs="宋体"/>
                <w:sz w:val="21"/>
                <w:szCs w:val="21"/>
              </w:rPr>
              <w:t>).</w:t>
            </w:r>
          </w:p>
          <w:p>
            <w:pPr>
              <w:pStyle w:val="86"/>
              <w:spacing w:line="240" w:lineRule="auto"/>
              <w:ind w:firstLine="0" w:firstLineChars="0"/>
              <w:rPr>
                <w:rFonts w:ascii="宋体" w:hAnsi="宋体" w:cs="宋体"/>
                <w:sz w:val="21"/>
                <w:szCs w:val="21"/>
              </w:rPr>
            </w:pPr>
            <w:r>
              <w:rPr>
                <w:rFonts w:hint="eastAsia" w:ascii="宋体" w:hAnsi="宋体" w:cs="宋体"/>
                <w:sz w:val="21"/>
                <w:szCs w:val="21"/>
              </w:rPr>
              <w:t>3.门诊模块需提供膳食调查功能。(</w:t>
            </w:r>
            <w:r>
              <w:rPr>
                <w:rFonts w:hint="eastAsia" w:ascii="宋体" w:hAnsi="宋体" w:cs="宋体"/>
                <w:b/>
                <w:bCs/>
                <w:sz w:val="21"/>
                <w:szCs w:val="21"/>
              </w:rPr>
              <w:t>功能要求见1.3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3.5营养治疗</w:t>
            </w:r>
          </w:p>
        </w:tc>
        <w:tc>
          <w:tcPr>
            <w:tcW w:w="3740" w:type="pct"/>
            <w:shd w:val="clear" w:color="auto" w:fill="auto"/>
            <w:tcMar>
              <w:top w:w="0" w:type="dxa"/>
              <w:left w:w="57" w:type="dxa"/>
              <w:bottom w:w="0" w:type="dxa"/>
              <w:right w:w="57" w:type="dxa"/>
            </w:tcMar>
          </w:tcPr>
          <w:p>
            <w:pPr>
              <w:pStyle w:val="86"/>
              <w:spacing w:line="240" w:lineRule="auto"/>
              <w:ind w:firstLine="52" w:firstLineChars="0"/>
              <w:rPr>
                <w:rFonts w:ascii="宋体" w:hAnsi="宋体" w:cs="宋体"/>
                <w:sz w:val="21"/>
                <w:szCs w:val="21"/>
              </w:rPr>
            </w:pPr>
            <w:r>
              <w:rPr>
                <w:rFonts w:hint="eastAsia" w:ascii="宋体" w:hAnsi="宋体" w:cs="宋体"/>
                <w:sz w:val="21"/>
                <w:szCs w:val="21"/>
              </w:rPr>
              <w:t>1.门诊模块需提供营养配餐、交换份配餐功能。(</w:t>
            </w:r>
            <w:r>
              <w:rPr>
                <w:rFonts w:hint="eastAsia" w:ascii="宋体" w:hAnsi="宋体" w:cs="宋体"/>
                <w:b/>
                <w:bCs/>
                <w:sz w:val="21"/>
                <w:szCs w:val="21"/>
              </w:rPr>
              <w:t>功能要求见2.1、2.2</w:t>
            </w:r>
            <w:r>
              <w:rPr>
                <w:rFonts w:hint="eastAsia" w:ascii="宋体" w:hAnsi="宋体" w:cs="宋体"/>
                <w:sz w:val="21"/>
                <w:szCs w:val="21"/>
              </w:rPr>
              <w:t>).</w:t>
            </w:r>
          </w:p>
          <w:p>
            <w:pPr>
              <w:pStyle w:val="86"/>
              <w:spacing w:line="240" w:lineRule="auto"/>
              <w:ind w:firstLine="52" w:firstLineChars="0"/>
              <w:rPr>
                <w:rFonts w:ascii="宋体" w:hAnsi="宋体" w:cs="宋体"/>
                <w:sz w:val="21"/>
                <w:szCs w:val="21"/>
              </w:rPr>
            </w:pPr>
            <w:r>
              <w:rPr>
                <w:rFonts w:hint="eastAsia" w:ascii="宋体" w:hAnsi="宋体" w:cs="宋体"/>
                <w:sz w:val="21"/>
                <w:szCs w:val="21"/>
              </w:rPr>
              <w:t>2.门诊模块需提供肠内营养处方、肿瘤患者智能化营养处方功能(</w:t>
            </w:r>
            <w:r>
              <w:rPr>
                <w:rFonts w:hint="eastAsia" w:ascii="宋体" w:hAnsi="宋体" w:cs="宋体"/>
                <w:b/>
                <w:bCs/>
                <w:sz w:val="21"/>
                <w:szCs w:val="21"/>
              </w:rPr>
              <w:t>功能要求见2.3、2.4</w:t>
            </w:r>
            <w:r>
              <w:rPr>
                <w:rFonts w:hint="eastAsia" w:ascii="宋体" w:hAnsi="宋体" w:cs="宋体"/>
                <w:sz w:val="21"/>
                <w:szCs w:val="21"/>
              </w:rPr>
              <w:t>)。</w:t>
            </w:r>
          </w:p>
          <w:p>
            <w:pPr>
              <w:pStyle w:val="86"/>
              <w:spacing w:line="240" w:lineRule="auto"/>
              <w:ind w:firstLine="52" w:firstLineChars="0"/>
              <w:rPr>
                <w:rFonts w:ascii="宋体" w:hAnsi="宋体" w:cs="宋体"/>
                <w:sz w:val="21"/>
                <w:szCs w:val="21"/>
              </w:rPr>
            </w:pPr>
            <w:r>
              <w:rPr>
                <w:rFonts w:hint="eastAsia" w:ascii="宋体" w:hAnsi="宋体" w:cs="宋体"/>
                <w:sz w:val="21"/>
                <w:szCs w:val="21"/>
              </w:rPr>
              <w:t>3.门诊模块需提供运动处方、营养宣教功能(</w:t>
            </w:r>
            <w:r>
              <w:rPr>
                <w:rFonts w:hint="eastAsia" w:ascii="宋体" w:hAnsi="宋体" w:cs="宋体"/>
                <w:b/>
                <w:bCs/>
                <w:sz w:val="21"/>
                <w:szCs w:val="21"/>
              </w:rPr>
              <w:t>功能要求见2.6、2.8</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3.6营养报告</w:t>
            </w:r>
          </w:p>
        </w:tc>
        <w:tc>
          <w:tcPr>
            <w:tcW w:w="3740" w:type="pct"/>
            <w:shd w:val="clear" w:color="auto" w:fill="auto"/>
            <w:tcMar>
              <w:top w:w="0" w:type="dxa"/>
              <w:left w:w="57" w:type="dxa"/>
              <w:bottom w:w="0" w:type="dxa"/>
              <w:right w:w="57" w:type="dxa"/>
            </w:tcMar>
          </w:tcPr>
          <w:p>
            <w:pPr>
              <w:pStyle w:val="23"/>
              <w:widowControl/>
              <w:spacing w:before="0" w:beforeAutospacing="0" w:after="0" w:afterAutospacing="0" w:line="240" w:lineRule="auto"/>
              <w:rPr>
                <w:rFonts w:ascii="宋体" w:hAnsi="宋体" w:cs="宋体"/>
                <w:sz w:val="21"/>
                <w:szCs w:val="21"/>
              </w:rPr>
            </w:pPr>
            <w:r>
              <w:rPr>
                <w:rFonts w:hint="eastAsia" w:ascii="宋体" w:hAnsi="宋体" w:cs="宋体"/>
                <w:sz w:val="21"/>
                <w:szCs w:val="21"/>
              </w:rPr>
              <w:t>1.支持自动化生成系统标准的报告，涵盖基本信息、体格评估报告、营养筛评报告、膳食调查报告、营养配餐表、肠内处方、运动处方，可供营养医师自由勾选需要的模块，出报告提供给患者。</w:t>
            </w:r>
          </w:p>
          <w:p>
            <w:pPr>
              <w:spacing w:line="240" w:lineRule="auto"/>
              <w:rPr>
                <w:rFonts w:ascii="宋体" w:hAnsi="宋体" w:cs="宋体"/>
                <w:sz w:val="21"/>
                <w:szCs w:val="21"/>
              </w:rPr>
            </w:pPr>
            <w:r>
              <w:rPr>
                <w:rFonts w:hint="eastAsia" w:ascii="宋体" w:hAnsi="宋体" w:cs="宋体"/>
                <w:sz w:val="21"/>
                <w:szCs w:val="21"/>
              </w:rPr>
              <w:t>2.可记录与存档历次咨询的报告。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3.7门诊档案</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支持营养师调阅患者之前的就诊记录来查阅治疗过程作为参考，减少与患者之间的问询时间。快速给出营养干预处方。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住院患者模块</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4.1筛评量表</w:t>
            </w:r>
          </w:p>
        </w:tc>
        <w:tc>
          <w:tcPr>
            <w:tcW w:w="3740" w:type="pct"/>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shd w:val="clear" w:color="auto" w:fill="FFFFFF"/>
              </w:rPr>
            </w:pPr>
            <w:r>
              <w:rPr>
                <w:rFonts w:hint="eastAsia" w:ascii="宋体" w:hAnsi="宋体" w:cs="宋体"/>
                <w:sz w:val="21"/>
                <w:szCs w:val="21"/>
              </w:rPr>
              <w:t>住院模块治疗提供以下筛查评估量表，须包括：NRS2002、MUST、SGA、PG-SGA、STAMP、NUTRIC、MNA-SF、GLIM。(</w:t>
            </w:r>
            <w:r>
              <w:rPr>
                <w:rFonts w:hint="eastAsia" w:ascii="宋体" w:hAnsi="宋体" w:cs="宋体"/>
                <w:b/>
                <w:bCs/>
                <w:sz w:val="21"/>
                <w:szCs w:val="21"/>
              </w:rPr>
              <w:t>功能要求见1.1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4.2营养筛评工具</w:t>
            </w:r>
          </w:p>
        </w:tc>
        <w:tc>
          <w:tcPr>
            <w:tcW w:w="3740" w:type="pct"/>
            <w:shd w:val="clear" w:color="auto" w:fill="auto"/>
            <w:tcMar>
              <w:top w:w="0" w:type="dxa"/>
              <w:left w:w="57" w:type="dxa"/>
              <w:bottom w:w="0" w:type="dxa"/>
              <w:right w:w="57" w:type="dxa"/>
            </w:tcMar>
          </w:tcPr>
          <w:p>
            <w:pPr>
              <w:pStyle w:val="86"/>
              <w:spacing w:line="240" w:lineRule="auto"/>
              <w:ind w:firstLine="0" w:firstLineChars="0"/>
              <w:rPr>
                <w:rFonts w:ascii="宋体" w:hAnsi="宋体" w:cs="宋体"/>
                <w:sz w:val="21"/>
                <w:szCs w:val="21"/>
              </w:rPr>
            </w:pPr>
            <w:r>
              <w:rPr>
                <w:rFonts w:hint="eastAsia" w:ascii="宋体" w:hAnsi="宋体" w:cs="宋体"/>
                <w:sz w:val="21"/>
                <w:szCs w:val="21"/>
              </w:rPr>
              <w:t>1.住院患者模块需提供体格评估功能，包括：儿童体格评估、孕期体格评估。(</w:t>
            </w:r>
            <w:r>
              <w:rPr>
                <w:rFonts w:hint="eastAsia" w:ascii="宋体" w:hAnsi="宋体" w:cs="宋体"/>
                <w:b/>
                <w:bCs/>
                <w:sz w:val="21"/>
                <w:szCs w:val="21"/>
              </w:rPr>
              <w:t>功能要求见1.4、1.5</w:t>
            </w:r>
            <w:r>
              <w:rPr>
                <w:rFonts w:hint="eastAsia" w:ascii="宋体" w:hAnsi="宋体" w:cs="宋体"/>
                <w:sz w:val="21"/>
                <w:szCs w:val="21"/>
              </w:rPr>
              <w:t>).</w:t>
            </w:r>
          </w:p>
          <w:p>
            <w:pPr>
              <w:pStyle w:val="86"/>
              <w:spacing w:line="240" w:lineRule="auto"/>
              <w:ind w:firstLine="0" w:firstLineChars="0"/>
              <w:rPr>
                <w:rFonts w:ascii="宋体" w:hAnsi="宋体" w:cs="宋体"/>
                <w:sz w:val="21"/>
                <w:szCs w:val="21"/>
              </w:rPr>
            </w:pPr>
            <w:r>
              <w:rPr>
                <w:rFonts w:hint="eastAsia" w:ascii="宋体" w:hAnsi="宋体" w:cs="宋体"/>
                <w:sz w:val="21"/>
                <w:szCs w:val="21"/>
              </w:rPr>
              <w:t>2.住院患者模块需提供营养评估功能。(</w:t>
            </w:r>
            <w:r>
              <w:rPr>
                <w:rFonts w:hint="eastAsia" w:ascii="宋体" w:hAnsi="宋体" w:cs="宋体"/>
                <w:b/>
                <w:bCs/>
                <w:sz w:val="21"/>
                <w:szCs w:val="21"/>
              </w:rPr>
              <w:t>功能要求见1.2</w:t>
            </w:r>
            <w:r>
              <w:rPr>
                <w:rFonts w:hint="eastAsia" w:ascii="宋体" w:hAnsi="宋体" w:cs="宋体"/>
                <w:sz w:val="21"/>
                <w:szCs w:val="21"/>
              </w:rPr>
              <w:t>).</w:t>
            </w:r>
          </w:p>
          <w:p>
            <w:pPr>
              <w:pStyle w:val="86"/>
              <w:spacing w:line="240" w:lineRule="auto"/>
              <w:ind w:firstLine="0" w:firstLineChars="0"/>
              <w:rPr>
                <w:rFonts w:ascii="宋体" w:hAnsi="宋体" w:cs="宋体"/>
                <w:sz w:val="21"/>
                <w:szCs w:val="21"/>
              </w:rPr>
            </w:pPr>
            <w:r>
              <w:rPr>
                <w:rFonts w:hint="eastAsia" w:ascii="宋体" w:hAnsi="宋体" w:cs="宋体"/>
                <w:sz w:val="21"/>
                <w:szCs w:val="21"/>
              </w:rPr>
              <w:t>3.住院患者模块需提供膳食调查功能。(</w:t>
            </w:r>
            <w:r>
              <w:rPr>
                <w:rFonts w:hint="eastAsia" w:ascii="宋体" w:hAnsi="宋体" w:cs="宋体"/>
                <w:b/>
                <w:bCs/>
                <w:sz w:val="21"/>
                <w:szCs w:val="21"/>
              </w:rPr>
              <w:t>功能要求见1.3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4.3数据看板</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信息发射源，展示当前时间或阶段的筛查人次，评估人次、会诊人次，干预人次等。可投影到液晶电视来展示状态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4.4在院病人</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1.支持显示当前医院的在院患者人数，该页面展示患者的基本信息，入院时间，入院诊断、饮食医嘱等信息.</w:t>
            </w:r>
          </w:p>
          <w:p>
            <w:pPr>
              <w:spacing w:line="240" w:lineRule="auto"/>
              <w:rPr>
                <w:rFonts w:ascii="宋体" w:hAnsi="宋体" w:cs="宋体"/>
                <w:sz w:val="21"/>
                <w:szCs w:val="21"/>
              </w:rPr>
            </w:pPr>
            <w:r>
              <w:rPr>
                <w:rFonts w:hint="eastAsia" w:ascii="宋体" w:hAnsi="宋体" w:cs="宋体"/>
                <w:sz w:val="21"/>
                <w:szCs w:val="21"/>
              </w:rPr>
              <w:t>2.用户可输入姓名或者住院号精确查找，入院日期，患者标记、关注等查询条件。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4.5会诊病人</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1.支持接受来自HIS系统临床科室向营养科发起的营养会诊，可了解会诊的病情概况；</w:t>
            </w:r>
          </w:p>
          <w:p>
            <w:pPr>
              <w:spacing w:line="240" w:lineRule="auto"/>
              <w:rPr>
                <w:rFonts w:ascii="宋体" w:hAnsi="宋体" w:cs="宋体"/>
                <w:sz w:val="21"/>
                <w:szCs w:val="21"/>
              </w:rPr>
            </w:pPr>
            <w:r>
              <w:rPr>
                <w:rFonts w:hint="eastAsia" w:ascii="宋体" w:hAnsi="宋体" w:cs="宋体"/>
                <w:sz w:val="21"/>
                <w:szCs w:val="21"/>
              </w:rPr>
              <w:t>2.营养师可在会诊病人输入会诊意见，最后保存生成会诊报告整合到HIS系统病历中和营养病历里面。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4.6出院病人</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支持显示截止目前出院人数，主要用于调阅患者的历史就诊记录供当前入院作为治疗参考。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4.7筛评监控</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统计全院各临床科室对所有住院患者进行的筛查、评估记录，筛查得分和结果。供营养师查询作为营养干预前的依据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4.8营养治疗</w:t>
            </w:r>
          </w:p>
        </w:tc>
        <w:tc>
          <w:tcPr>
            <w:tcW w:w="3740" w:type="pct"/>
            <w:shd w:val="clear" w:color="auto" w:fill="auto"/>
            <w:tcMar>
              <w:top w:w="0" w:type="dxa"/>
              <w:left w:w="57" w:type="dxa"/>
              <w:bottom w:w="0" w:type="dxa"/>
              <w:right w:w="57" w:type="dxa"/>
            </w:tcMar>
          </w:tcPr>
          <w:p>
            <w:pPr>
              <w:pStyle w:val="86"/>
              <w:spacing w:line="240" w:lineRule="auto"/>
              <w:ind w:firstLine="52" w:firstLineChars="0"/>
              <w:rPr>
                <w:rFonts w:ascii="宋体" w:hAnsi="宋体" w:cs="宋体"/>
                <w:sz w:val="21"/>
                <w:szCs w:val="21"/>
              </w:rPr>
            </w:pPr>
            <w:r>
              <w:rPr>
                <w:rFonts w:hint="eastAsia" w:ascii="宋体" w:hAnsi="宋体" w:cs="宋体"/>
                <w:sz w:val="21"/>
                <w:szCs w:val="21"/>
              </w:rPr>
              <w:t>1.住院患者模块需提供营养配餐、交换份配餐功能。(</w:t>
            </w:r>
            <w:r>
              <w:rPr>
                <w:rFonts w:hint="eastAsia" w:ascii="宋体" w:hAnsi="宋体" w:cs="宋体"/>
                <w:b/>
                <w:bCs/>
                <w:sz w:val="21"/>
                <w:szCs w:val="21"/>
              </w:rPr>
              <w:t>功能要求见2.1、2.2</w:t>
            </w:r>
            <w:r>
              <w:rPr>
                <w:rFonts w:hint="eastAsia" w:ascii="宋体" w:hAnsi="宋体" w:cs="宋体"/>
                <w:sz w:val="21"/>
                <w:szCs w:val="21"/>
              </w:rPr>
              <w:t>).</w:t>
            </w:r>
          </w:p>
          <w:p>
            <w:pPr>
              <w:pStyle w:val="86"/>
              <w:spacing w:line="240" w:lineRule="auto"/>
              <w:ind w:firstLine="52" w:firstLineChars="0"/>
              <w:rPr>
                <w:rFonts w:ascii="宋体" w:hAnsi="宋体" w:cs="宋体"/>
                <w:sz w:val="21"/>
                <w:szCs w:val="21"/>
              </w:rPr>
            </w:pPr>
            <w:r>
              <w:rPr>
                <w:rFonts w:hint="eastAsia" w:ascii="宋体" w:hAnsi="宋体" w:cs="宋体"/>
                <w:sz w:val="21"/>
                <w:szCs w:val="21"/>
              </w:rPr>
              <w:t>2.住院患者模块需提供肠内营养处方、肿瘤患者智能化营养处方功能(</w:t>
            </w:r>
            <w:r>
              <w:rPr>
                <w:rFonts w:hint="eastAsia" w:ascii="宋体" w:hAnsi="宋体" w:cs="宋体"/>
                <w:b/>
                <w:bCs/>
                <w:sz w:val="21"/>
                <w:szCs w:val="21"/>
              </w:rPr>
              <w:t>功能要求见2.3、2.4</w:t>
            </w:r>
            <w:r>
              <w:rPr>
                <w:rFonts w:hint="eastAsia" w:ascii="宋体" w:hAnsi="宋体" w:cs="宋体"/>
                <w:sz w:val="21"/>
                <w:szCs w:val="21"/>
              </w:rPr>
              <w:t>)。</w:t>
            </w:r>
          </w:p>
          <w:p>
            <w:pPr>
              <w:pStyle w:val="86"/>
              <w:spacing w:line="240" w:lineRule="auto"/>
              <w:ind w:firstLine="52" w:firstLineChars="0"/>
              <w:rPr>
                <w:rFonts w:ascii="宋体" w:hAnsi="宋体" w:cs="宋体"/>
                <w:sz w:val="21"/>
                <w:szCs w:val="21"/>
              </w:rPr>
            </w:pPr>
            <w:r>
              <w:rPr>
                <w:rFonts w:hint="eastAsia" w:ascii="宋体" w:hAnsi="宋体" w:cs="宋体"/>
                <w:sz w:val="21"/>
                <w:szCs w:val="21"/>
              </w:rPr>
              <w:t>3.住院患者模块需提供肠外营养功能(</w:t>
            </w:r>
            <w:r>
              <w:rPr>
                <w:rFonts w:hint="eastAsia" w:ascii="宋体" w:hAnsi="宋体" w:cs="宋体"/>
                <w:b/>
                <w:bCs/>
                <w:sz w:val="21"/>
                <w:szCs w:val="21"/>
              </w:rPr>
              <w:t>功能要求见2.5</w:t>
            </w:r>
            <w:r>
              <w:rPr>
                <w:rFonts w:hint="eastAsia" w:ascii="宋体" w:hAnsi="宋体" w:cs="宋体"/>
                <w:sz w:val="21"/>
                <w:szCs w:val="21"/>
              </w:rPr>
              <w:t>)</w:t>
            </w:r>
          </w:p>
          <w:p>
            <w:pPr>
              <w:pStyle w:val="86"/>
              <w:spacing w:line="240" w:lineRule="auto"/>
              <w:ind w:firstLine="52" w:firstLineChars="0"/>
              <w:rPr>
                <w:rFonts w:ascii="宋体" w:hAnsi="宋体" w:cs="宋体"/>
                <w:sz w:val="21"/>
                <w:szCs w:val="21"/>
              </w:rPr>
            </w:pPr>
            <w:r>
              <w:rPr>
                <w:rFonts w:hint="eastAsia" w:ascii="宋体" w:hAnsi="宋体" w:cs="宋体"/>
                <w:sz w:val="21"/>
                <w:szCs w:val="21"/>
              </w:rPr>
              <w:t>3.住院患者模块需提供运动处方、营养宣教功能(</w:t>
            </w:r>
            <w:r>
              <w:rPr>
                <w:rFonts w:hint="eastAsia" w:ascii="宋体" w:hAnsi="宋体" w:cs="宋体"/>
                <w:b/>
                <w:bCs/>
                <w:sz w:val="21"/>
                <w:szCs w:val="21"/>
              </w:rPr>
              <w:t>功能要求见2.6、2.8</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4.9营养医嘱</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1.对患者实际概况进行营养干预，可选择成品处方和配置处方；长期或临时处方。</w:t>
            </w:r>
          </w:p>
          <w:p>
            <w:pPr>
              <w:spacing w:line="240" w:lineRule="auto"/>
              <w:rPr>
                <w:rFonts w:ascii="宋体" w:hAnsi="宋体" w:cs="宋体"/>
                <w:sz w:val="21"/>
                <w:szCs w:val="21"/>
              </w:rPr>
            </w:pPr>
            <w:r>
              <w:rPr>
                <w:rFonts w:hint="eastAsia" w:ascii="宋体" w:hAnsi="宋体" w:cs="宋体"/>
                <w:sz w:val="21"/>
                <w:szCs w:val="21"/>
              </w:rPr>
              <w:t>2.可设置经典处方，下达处方时填入处方用量、途径、喂养方式、频率、液量、备注等，点击下达会自动计算出该处方的营养素分析。</w:t>
            </w:r>
          </w:p>
          <w:p>
            <w:pPr>
              <w:spacing w:line="240" w:lineRule="auto"/>
              <w:rPr>
                <w:rFonts w:ascii="宋体" w:hAnsi="宋体" w:cs="宋体"/>
                <w:sz w:val="21"/>
                <w:szCs w:val="21"/>
              </w:rPr>
            </w:pPr>
            <w:r>
              <w:rPr>
                <w:rFonts w:hint="eastAsia" w:ascii="宋体" w:hAnsi="宋体" w:cs="宋体"/>
                <w:sz w:val="21"/>
                <w:szCs w:val="21"/>
              </w:rPr>
              <w:t>3.可在肠内历次处方查看患者的处方状态，执行时间，处方明细。也可调用处方.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4.10营养报告</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支持记录患者从入院到出院一系列的治疗过程，期间包含，筛查结果，营养配餐、膳食调查，营养干预等治疗过程最后完整生成一份营养报告供营养师、患者查阅。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5</w:t>
            </w:r>
          </w:p>
        </w:tc>
        <w:tc>
          <w:tcPr>
            <w:tcW w:w="278" w:type="pct"/>
            <w:vMerge w:val="restart"/>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kern w:val="0"/>
                <w:sz w:val="21"/>
                <w:szCs w:val="21"/>
              </w:rPr>
              <w:t>膳食订餐模块</w:t>
            </w: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5.1集体统一配餐</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1.系统包含中国最新的食物成分表2002、2004和2009，提供近3000种食物和近2000种菜谱库资源。</w:t>
            </w:r>
          </w:p>
          <w:p>
            <w:pPr>
              <w:pStyle w:val="86"/>
              <w:spacing w:line="240" w:lineRule="auto"/>
              <w:ind w:firstLine="0" w:firstLineChars="0"/>
              <w:rPr>
                <w:rFonts w:ascii="宋体" w:hAnsi="宋体" w:cs="宋体"/>
                <w:sz w:val="21"/>
                <w:szCs w:val="21"/>
              </w:rPr>
            </w:pPr>
            <w:r>
              <w:rPr>
                <w:rFonts w:hint="eastAsia" w:ascii="宋体" w:hAnsi="宋体" w:cs="宋体"/>
                <w:sz w:val="21"/>
                <w:szCs w:val="21"/>
              </w:rPr>
              <w:t>2.全院同种饮食医嘱病人，实现集体配餐。</w:t>
            </w:r>
          </w:p>
          <w:p>
            <w:pPr>
              <w:pStyle w:val="86"/>
              <w:spacing w:line="240" w:lineRule="auto"/>
              <w:ind w:firstLine="0" w:firstLineChars="0"/>
              <w:rPr>
                <w:rFonts w:ascii="宋体" w:hAnsi="宋体" w:cs="宋体"/>
                <w:sz w:val="21"/>
                <w:szCs w:val="21"/>
              </w:rPr>
            </w:pPr>
            <w:r>
              <w:rPr>
                <w:rFonts w:hint="eastAsia" w:ascii="宋体" w:hAnsi="宋体" w:cs="宋体"/>
                <w:sz w:val="21"/>
                <w:szCs w:val="21"/>
              </w:rPr>
              <w:t>3.配餐模式可支持单点及套餐。</w:t>
            </w:r>
          </w:p>
          <w:p>
            <w:pPr>
              <w:pStyle w:val="86"/>
              <w:spacing w:line="240" w:lineRule="auto"/>
              <w:ind w:firstLine="0" w:firstLineChars="0"/>
              <w:rPr>
                <w:rFonts w:ascii="宋体" w:hAnsi="宋体" w:cs="宋体"/>
                <w:sz w:val="21"/>
                <w:szCs w:val="21"/>
              </w:rPr>
            </w:pPr>
            <w:r>
              <w:rPr>
                <w:rFonts w:hint="eastAsia" w:ascii="宋体" w:hAnsi="宋体" w:cs="宋体"/>
                <w:sz w:val="21"/>
                <w:szCs w:val="21"/>
              </w:rPr>
              <w:t>4.可按照不同科室类型进行配餐。</w:t>
            </w:r>
          </w:p>
          <w:p>
            <w:pPr>
              <w:pStyle w:val="86"/>
              <w:spacing w:line="240" w:lineRule="auto"/>
              <w:ind w:firstLine="0" w:firstLineChars="0"/>
              <w:rPr>
                <w:rFonts w:ascii="宋体" w:hAnsi="宋体" w:cs="宋体"/>
                <w:sz w:val="21"/>
                <w:szCs w:val="21"/>
              </w:rPr>
            </w:pPr>
            <w:r>
              <w:rPr>
                <w:rFonts w:hint="eastAsia" w:ascii="宋体" w:hAnsi="宋体" w:cs="宋体"/>
                <w:sz w:val="21"/>
                <w:szCs w:val="21"/>
              </w:rPr>
              <w:t>5.可设置加餐菜肴，供新入院患者当日加餐。</w:t>
            </w:r>
          </w:p>
          <w:p>
            <w:pPr>
              <w:pStyle w:val="86"/>
              <w:spacing w:line="240" w:lineRule="auto"/>
              <w:ind w:firstLine="0" w:firstLineChars="0"/>
              <w:rPr>
                <w:rFonts w:ascii="宋体" w:hAnsi="宋体" w:cs="宋体"/>
                <w:sz w:val="21"/>
                <w:szCs w:val="21"/>
              </w:rPr>
            </w:pPr>
            <w:r>
              <w:rPr>
                <w:rFonts w:hint="eastAsia" w:ascii="宋体" w:hAnsi="宋体" w:cs="宋体"/>
                <w:sz w:val="21"/>
                <w:szCs w:val="21"/>
              </w:rPr>
              <w:t>6.系统自动计算各套餐营养素，可提供各套餐能量来源图表分析，为营养师配餐提供参考。</w:t>
            </w:r>
          </w:p>
          <w:p>
            <w:pPr>
              <w:pStyle w:val="86"/>
              <w:spacing w:line="240" w:lineRule="auto"/>
              <w:ind w:firstLine="0" w:firstLineChars="0"/>
              <w:rPr>
                <w:rFonts w:ascii="宋体" w:hAnsi="宋体" w:cs="宋体"/>
                <w:sz w:val="21"/>
                <w:szCs w:val="21"/>
              </w:rPr>
            </w:pPr>
            <w:r>
              <w:rPr>
                <w:rFonts w:hint="eastAsia" w:ascii="宋体" w:hAnsi="宋体" w:cs="宋体"/>
                <w:sz w:val="21"/>
                <w:szCs w:val="21"/>
              </w:rPr>
              <w:t>7.制订好的食谱可保存到经典食谱方便下次调用。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5.2特殊治疗饮食配餐</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针对特殊治疗（称重饮食）的病人，如糖尿病饮食或者低蛋白饮食，系统支持筛选相同BMI患者制定食谱，同菜不同量，从而达到治疗膳食的目的，提高治疗效果。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5.3经典食谱制定</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1.针对不同饮食医嘱，制定经典食谱。</w:t>
            </w:r>
          </w:p>
          <w:p>
            <w:pPr>
              <w:pStyle w:val="86"/>
              <w:spacing w:line="240" w:lineRule="auto"/>
              <w:ind w:firstLine="0" w:firstLineChars="0"/>
              <w:rPr>
                <w:rFonts w:ascii="宋体" w:hAnsi="宋体" w:cs="宋体"/>
                <w:sz w:val="21"/>
                <w:szCs w:val="21"/>
              </w:rPr>
            </w:pPr>
            <w:r>
              <w:rPr>
                <w:rFonts w:hint="eastAsia" w:ascii="宋体" w:hAnsi="宋体" w:cs="宋体"/>
                <w:sz w:val="21"/>
                <w:szCs w:val="21"/>
              </w:rPr>
              <w:t>2.经典食谱可长期、反复调用，并可修改。</w:t>
            </w:r>
          </w:p>
          <w:p>
            <w:pPr>
              <w:pStyle w:val="86"/>
              <w:spacing w:line="240" w:lineRule="auto"/>
              <w:ind w:firstLine="0" w:firstLineChars="0"/>
              <w:rPr>
                <w:rFonts w:ascii="宋体" w:hAnsi="宋体" w:cs="宋体"/>
                <w:sz w:val="21"/>
                <w:szCs w:val="21"/>
              </w:rPr>
            </w:pPr>
            <w:r>
              <w:rPr>
                <w:rFonts w:hint="eastAsia" w:ascii="宋体" w:hAnsi="宋体" w:cs="宋体"/>
                <w:sz w:val="21"/>
                <w:szCs w:val="21"/>
              </w:rPr>
              <w:t>3.调用经典食谱，可按日选择性调用，方便、合理。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5.4其他配餐</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小锅菜统一配餐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5.5营养素推荐</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支持根据饮食医嘱推荐相应的营养素摄入量，推荐范围涵盖宏量及微量营养素。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5.6退餐管理</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对特殊原因要退餐的病人,支持查询后退餐，退餐流水支持通过退餐管理查询。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5.7病人点餐</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1.支持自动提取各科室、各床位的病人。</w:t>
            </w:r>
          </w:p>
          <w:p>
            <w:pPr>
              <w:pStyle w:val="86"/>
              <w:spacing w:line="240" w:lineRule="auto"/>
              <w:ind w:firstLine="0" w:firstLineChars="0"/>
              <w:rPr>
                <w:rFonts w:ascii="宋体" w:hAnsi="宋体" w:cs="宋体"/>
                <w:sz w:val="21"/>
                <w:szCs w:val="21"/>
              </w:rPr>
            </w:pPr>
            <w:r>
              <w:rPr>
                <w:rFonts w:hint="eastAsia" w:ascii="宋体" w:hAnsi="宋体" w:cs="宋体"/>
                <w:sz w:val="21"/>
                <w:szCs w:val="21"/>
              </w:rPr>
              <w:t>2.系统自动匹配相应饮食医嘱的食谱，供患者在PDA点餐。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5.8查询统计</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1.点餐查询：已点餐内容，可直接查询，未上传的数据可修改。</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2.病人信息：列表形式查看科室下患者的住院号、姓名、饮食医嘱信息；</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3.订单查询：查询前天、昨天、今日的订单明细。</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4.个人消费明细统计表：系统自动查询统计某病人在院期间的所有膳食收费明细。</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5.营养配餐查询:查询不同饮食医嘱所对应的营养配餐内容。</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6.营养点餐查询:查询一段日期范围内，全院住院病人的所有订餐信息。</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7.病人信息变更查询:查询全院当日饮食医嘱发生变更的信息;查询全院当日转科转床的信息。</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8.科室收费统计表：系统自动查询统计所有科室一段时间内的订餐收费合计。</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9.食谱配餐统计表：可查询每个饮食医嘱一周的食谱清单；可查询小锅菜、陪护及护工一周食谱清单；食谱清单可导出及打印。</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10.采购用料统计：根据点餐信息，系统自动生成按照不同灶的次日采购用量统计，以指导食堂采购管理，并可导出、打印。</w:t>
            </w:r>
          </w:p>
          <w:p>
            <w:pPr>
              <w:pStyle w:val="86"/>
              <w:spacing w:line="240" w:lineRule="auto"/>
              <w:ind w:firstLine="0" w:firstLineChars="0"/>
              <w:rPr>
                <w:rFonts w:hint="eastAsia" w:ascii="宋体" w:hAnsi="宋体" w:cs="宋体"/>
                <w:sz w:val="21"/>
                <w:szCs w:val="21"/>
              </w:rPr>
            </w:pPr>
            <w:r>
              <w:rPr>
                <w:rFonts w:hint="eastAsia" w:ascii="宋体" w:hAnsi="宋体" w:cs="宋体"/>
                <w:sz w:val="21"/>
                <w:szCs w:val="21"/>
              </w:rPr>
              <w:t>11.烧菜成分统计报表：按照不同的灶不同饮食医嘱下统计菜肴数量及原料名称、原料数量，指导食堂烧菜。</w:t>
            </w:r>
          </w:p>
          <w:p>
            <w:pPr>
              <w:pStyle w:val="86"/>
              <w:spacing w:line="240" w:lineRule="auto"/>
              <w:ind w:firstLine="0" w:firstLineChars="0"/>
              <w:rPr>
                <w:rFonts w:ascii="宋体" w:hAnsi="宋体" w:cs="宋体"/>
                <w:sz w:val="21"/>
                <w:szCs w:val="21"/>
              </w:rPr>
            </w:pPr>
            <w:r>
              <w:rPr>
                <w:rFonts w:hint="eastAsia" w:ascii="宋体" w:hAnsi="宋体" w:cs="宋体"/>
                <w:sz w:val="21"/>
                <w:szCs w:val="21"/>
              </w:rPr>
              <w:t>12.科室领餐统计：根据点餐信息，显示每个科室对应每种菜的领菜份数及内容，并可导出、打印，方便送餐员领餐。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5.9数据传输</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1.支持自动上传已点餐数据，同步到营养工作站。</w:t>
            </w:r>
          </w:p>
          <w:p>
            <w:pPr>
              <w:pStyle w:val="86"/>
              <w:spacing w:line="240" w:lineRule="auto"/>
              <w:ind w:firstLine="0" w:firstLineChars="0"/>
              <w:rPr>
                <w:rFonts w:ascii="宋体" w:hAnsi="宋体" w:cs="宋体"/>
                <w:sz w:val="21"/>
                <w:szCs w:val="21"/>
              </w:rPr>
            </w:pPr>
            <w:r>
              <w:rPr>
                <w:rFonts w:hint="eastAsia" w:ascii="宋体" w:hAnsi="宋体" w:cs="宋体"/>
                <w:sz w:val="21"/>
                <w:szCs w:val="21"/>
              </w:rPr>
              <w:t>2.支持自动下载所有病人及菜谱信息。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5.10设备管理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sz w:val="21"/>
                <w:szCs w:val="21"/>
              </w:rPr>
              <w:t>支持设置每台订餐机设备分管哪些科室订餐任务。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kern w:val="0"/>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rPr>
                <w:rFonts w:ascii="宋体" w:hAnsi="宋体" w:cs="宋体"/>
                <w:b/>
                <w:bCs/>
                <w:sz w:val="21"/>
                <w:szCs w:val="21"/>
              </w:rPr>
            </w:pPr>
            <w:r>
              <w:rPr>
                <w:rFonts w:hint="eastAsia" w:ascii="宋体" w:hAnsi="宋体" w:cs="宋体"/>
                <w:b/>
                <w:bCs/>
                <w:sz w:val="21"/>
                <w:szCs w:val="21"/>
              </w:rPr>
              <w:t>5.11设置维护</w:t>
            </w:r>
          </w:p>
        </w:tc>
        <w:tc>
          <w:tcPr>
            <w:tcW w:w="3740" w:type="pct"/>
            <w:shd w:val="clear" w:color="auto" w:fill="auto"/>
            <w:tcMar>
              <w:top w:w="0" w:type="dxa"/>
              <w:left w:w="57" w:type="dxa"/>
              <w:bottom w:w="0" w:type="dxa"/>
              <w:right w:w="57" w:type="dxa"/>
            </w:tcMar>
            <w:vAlign w:val="center"/>
          </w:tcPr>
          <w:p>
            <w:pPr>
              <w:pStyle w:val="86"/>
              <w:spacing w:line="240" w:lineRule="auto"/>
              <w:ind w:firstLine="0" w:firstLineChars="0"/>
              <w:rPr>
                <w:rFonts w:ascii="宋体" w:hAnsi="宋体" w:cs="宋体"/>
                <w:sz w:val="21"/>
                <w:szCs w:val="21"/>
              </w:rPr>
            </w:pPr>
            <w:r>
              <w:rPr>
                <w:rFonts w:hint="eastAsia" w:ascii="宋体" w:hAnsi="宋体" w:cs="宋体"/>
                <w:sz w:val="21"/>
                <w:szCs w:val="21"/>
              </w:rPr>
              <w:t>1.食物库设置：可实现增加和删减食材，充分体现了库的开放和可拓展性。</w:t>
            </w:r>
          </w:p>
          <w:p>
            <w:pPr>
              <w:pStyle w:val="86"/>
              <w:spacing w:line="240" w:lineRule="auto"/>
              <w:ind w:firstLine="0" w:firstLineChars="0"/>
              <w:rPr>
                <w:rFonts w:ascii="宋体" w:hAnsi="宋体" w:cs="宋体"/>
                <w:sz w:val="21"/>
                <w:szCs w:val="21"/>
              </w:rPr>
            </w:pPr>
            <w:r>
              <w:rPr>
                <w:rFonts w:hint="eastAsia" w:ascii="宋体" w:hAnsi="宋体" w:cs="宋体"/>
                <w:sz w:val="21"/>
                <w:szCs w:val="21"/>
              </w:rPr>
              <w:t>2.菜谱库设置：可以增加菜谱，或者修改菜谱食材搭配，甚至可以新建常用菜谱库和小锅菜库及价格设置</w:t>
            </w:r>
          </w:p>
          <w:p>
            <w:pPr>
              <w:pStyle w:val="86"/>
              <w:spacing w:line="240" w:lineRule="auto"/>
              <w:ind w:firstLine="0" w:firstLineChars="0"/>
              <w:rPr>
                <w:rFonts w:ascii="宋体" w:hAnsi="宋体" w:cs="宋体"/>
                <w:sz w:val="21"/>
                <w:szCs w:val="21"/>
              </w:rPr>
            </w:pPr>
            <w:r>
              <w:rPr>
                <w:rFonts w:hint="eastAsia" w:ascii="宋体" w:hAnsi="宋体" w:cs="宋体"/>
                <w:sz w:val="21"/>
                <w:szCs w:val="21"/>
              </w:rPr>
              <w:t>3.餐次设置：启用停用餐次，设置饮食医嘱下每餐的主食及调料量</w:t>
            </w:r>
          </w:p>
          <w:p>
            <w:pPr>
              <w:pStyle w:val="86"/>
              <w:spacing w:line="240" w:lineRule="auto"/>
              <w:ind w:firstLine="0" w:firstLineChars="0"/>
              <w:rPr>
                <w:rFonts w:ascii="宋体" w:hAnsi="宋体" w:cs="宋体"/>
                <w:sz w:val="21"/>
                <w:szCs w:val="21"/>
              </w:rPr>
            </w:pPr>
            <w:r>
              <w:rPr>
                <w:rFonts w:hint="eastAsia" w:ascii="宋体" w:hAnsi="宋体" w:cs="宋体"/>
                <w:sz w:val="21"/>
                <w:szCs w:val="21"/>
              </w:rPr>
              <w:t>4.膳食类型设置：对医院开展的膳食种类和类型进行数据设置。</w:t>
            </w:r>
          </w:p>
          <w:p>
            <w:pPr>
              <w:pStyle w:val="86"/>
              <w:spacing w:line="240" w:lineRule="auto"/>
              <w:ind w:firstLine="0" w:firstLineChars="0"/>
              <w:rPr>
                <w:rFonts w:ascii="宋体" w:hAnsi="宋体" w:cs="宋体"/>
                <w:sz w:val="21"/>
                <w:szCs w:val="21"/>
              </w:rPr>
            </w:pPr>
            <w:r>
              <w:rPr>
                <w:rFonts w:hint="eastAsia" w:ascii="宋体" w:hAnsi="宋体" w:cs="宋体"/>
                <w:sz w:val="21"/>
                <w:szCs w:val="21"/>
              </w:rPr>
              <w:t>5.配餐设置：可设置饮食医嘱大类下各饮食医嘱的配餐模式：单点或者套餐；设置饮食医嘱价格及单点菜肴价格</w:t>
            </w:r>
          </w:p>
          <w:p>
            <w:pPr>
              <w:pStyle w:val="86"/>
              <w:spacing w:line="240" w:lineRule="auto"/>
              <w:ind w:firstLine="0" w:firstLineChars="0"/>
              <w:rPr>
                <w:rFonts w:ascii="宋体" w:hAnsi="宋体" w:cs="宋体"/>
                <w:sz w:val="21"/>
                <w:szCs w:val="21"/>
              </w:rPr>
            </w:pPr>
            <w:r>
              <w:rPr>
                <w:rFonts w:hint="eastAsia" w:ascii="宋体" w:hAnsi="宋体" w:cs="宋体"/>
                <w:sz w:val="21"/>
                <w:szCs w:val="21"/>
              </w:rPr>
              <w:t>6.医院基础设置：科室病区列表设置，可设置医院的常用科室。</w:t>
            </w:r>
          </w:p>
          <w:p>
            <w:pPr>
              <w:pStyle w:val="86"/>
              <w:spacing w:line="240" w:lineRule="auto"/>
              <w:ind w:firstLine="0" w:firstLineChars="0"/>
              <w:rPr>
                <w:rFonts w:ascii="宋体" w:hAnsi="宋体" w:cs="宋体"/>
                <w:sz w:val="21"/>
                <w:szCs w:val="21"/>
              </w:rPr>
            </w:pPr>
            <w:r>
              <w:rPr>
                <w:rFonts w:hint="eastAsia" w:ascii="宋体" w:hAnsi="宋体" w:cs="宋体"/>
                <w:sz w:val="21"/>
                <w:szCs w:val="21"/>
              </w:rPr>
              <w:t>7.营养师对应科室设置：设置营养师所管辖的科室，并对此进行设置。</w:t>
            </w:r>
          </w:p>
          <w:p>
            <w:pPr>
              <w:pStyle w:val="86"/>
              <w:spacing w:line="240" w:lineRule="auto"/>
              <w:ind w:firstLine="0" w:firstLineChars="0"/>
              <w:rPr>
                <w:rFonts w:ascii="宋体" w:hAnsi="宋体" w:cs="宋体"/>
                <w:sz w:val="21"/>
                <w:szCs w:val="21"/>
              </w:rPr>
            </w:pPr>
            <w:r>
              <w:rPr>
                <w:rFonts w:hint="eastAsia" w:ascii="宋体" w:hAnsi="宋体" w:cs="宋体"/>
                <w:sz w:val="21"/>
                <w:szCs w:val="21"/>
              </w:rPr>
              <w:t>8.标准饮食医嘱营养素推荐：可以提供很完整的饮食医嘱下标准营养素推荐数据库，并可形成配餐时的比较，合理指导营养师配餐。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特医食品配制管理模块</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6.1住院收费</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shd w:val="clear" w:color="auto" w:fill="FFFFFF"/>
              </w:rPr>
              <w:t>1.</w:t>
            </w:r>
            <w:r>
              <w:rPr>
                <w:rFonts w:hint="eastAsia" w:ascii="宋体" w:hAnsi="宋体" w:cs="宋体"/>
                <w:sz w:val="21"/>
                <w:szCs w:val="21"/>
              </w:rPr>
              <w:t>营养师下达营养医嘱后，配制室会显示有新医嘱需要处理。</w:t>
            </w:r>
          </w:p>
          <w:p>
            <w:pPr>
              <w:spacing w:line="240" w:lineRule="auto"/>
              <w:rPr>
                <w:rFonts w:ascii="宋体" w:hAnsi="宋体" w:cs="宋体"/>
                <w:sz w:val="21"/>
                <w:szCs w:val="21"/>
              </w:rPr>
            </w:pPr>
            <w:r>
              <w:rPr>
                <w:rFonts w:hint="eastAsia" w:ascii="宋体" w:hAnsi="宋体" w:cs="宋体"/>
                <w:sz w:val="21"/>
                <w:szCs w:val="21"/>
              </w:rPr>
              <w:t>2.配制室完成配制或成品发放，并且打印标签和费用收取，也可以打印收费凭证给患者，可通过日期，收费状态、医嘱类型、打印状态精确查询。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6.2门诊收费</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1.门诊营养师下达处方后，在门诊收费页面可看到患者未缴费的处方，勾选单选框点击确认收费打印收费凭证给患者到配制中心领取制剂。</w:t>
            </w:r>
          </w:p>
          <w:p>
            <w:pPr>
              <w:spacing w:line="240" w:lineRule="auto"/>
              <w:rPr>
                <w:rFonts w:hint="eastAsia" w:ascii="宋体" w:hAnsi="宋体" w:eastAsia="宋体" w:cs="宋体"/>
                <w:sz w:val="21"/>
                <w:szCs w:val="21"/>
                <w:lang w:eastAsia="zh-CN"/>
              </w:rPr>
            </w:pPr>
            <w:r>
              <w:rPr>
                <w:rFonts w:hint="eastAsia" w:ascii="宋体" w:hAnsi="宋体" w:cs="宋体"/>
                <w:sz w:val="21"/>
                <w:szCs w:val="21"/>
              </w:rPr>
              <w:t>2.可根据患者姓名或住院号，收费状态、下达时间等查询条件查找</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6.3制剂领用</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用于门诊收费之后体现患者缴费状态，进行制剂配制、打印标签、发放。可根据领取状态，门诊号精确查询。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6.4制剂入库</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1.新增制剂需要先进行入库，输入制剂名称，填写生产日期、入库数量会自动计算合计金额。</w:t>
            </w:r>
          </w:p>
          <w:p>
            <w:pPr>
              <w:spacing w:line="240" w:lineRule="auto"/>
              <w:rPr>
                <w:rFonts w:ascii="宋体" w:hAnsi="宋体" w:cs="宋体"/>
                <w:sz w:val="21"/>
                <w:szCs w:val="21"/>
              </w:rPr>
            </w:pPr>
            <w:r>
              <w:rPr>
                <w:rFonts w:hint="eastAsia" w:ascii="宋体" w:hAnsi="宋体" w:cs="宋体"/>
                <w:sz w:val="21"/>
                <w:szCs w:val="21"/>
              </w:rPr>
              <w:t>2.检查后确认入库，库存统计会记录该制剂截止当前库存量，入库错误可入库差错出库进行出库。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6.5制剂出库</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1.一般情况下是正常出库；可手动出库包含（损耗出库、过期出库）；</w:t>
            </w:r>
          </w:p>
          <w:p>
            <w:pPr>
              <w:spacing w:line="240" w:lineRule="auto"/>
              <w:rPr>
                <w:rFonts w:ascii="宋体" w:hAnsi="宋体" w:cs="宋体"/>
                <w:sz w:val="21"/>
                <w:szCs w:val="21"/>
              </w:rPr>
            </w:pPr>
            <w:r>
              <w:rPr>
                <w:rFonts w:hint="eastAsia" w:ascii="宋体" w:hAnsi="宋体" w:cs="宋体"/>
                <w:sz w:val="21"/>
                <w:szCs w:val="21"/>
              </w:rPr>
              <w:t>2.如出库错误可进入制剂入库进行出库差错入库。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6.6出入库查询</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记录出库、入库记录。点击出库或入库记录查看出入库明细。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6.7制剂入库统计</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1.输入制剂名称、选择供应商可精确查询入库制剂记录；</w:t>
            </w:r>
          </w:p>
          <w:p>
            <w:pPr>
              <w:spacing w:line="240" w:lineRule="auto"/>
              <w:rPr>
                <w:rFonts w:ascii="宋体" w:hAnsi="宋体" w:cs="宋体"/>
                <w:sz w:val="21"/>
                <w:szCs w:val="21"/>
              </w:rPr>
            </w:pPr>
            <w:r>
              <w:rPr>
                <w:rFonts w:hint="eastAsia" w:ascii="宋体" w:hAnsi="宋体" w:cs="宋体"/>
                <w:sz w:val="21"/>
                <w:szCs w:val="21"/>
              </w:rPr>
              <w:t>2.可通过时间段查询显示该时间段内所有的制剂入库截止库存量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6.8制剂出库统计</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1.输入制剂名称、选择供应商可精确查询入库制剂记录；</w:t>
            </w:r>
          </w:p>
          <w:p>
            <w:pPr>
              <w:spacing w:line="240" w:lineRule="auto"/>
              <w:rPr>
                <w:rFonts w:ascii="宋体" w:hAnsi="宋体" w:cs="宋体"/>
                <w:sz w:val="21"/>
                <w:szCs w:val="21"/>
              </w:rPr>
            </w:pPr>
            <w:r>
              <w:rPr>
                <w:rFonts w:hint="eastAsia" w:ascii="宋体" w:hAnsi="宋体" w:cs="宋体"/>
                <w:sz w:val="21"/>
                <w:szCs w:val="21"/>
              </w:rPr>
              <w:t>2.可通过时间段查询显示该时间段内所有的制剂出库截止库存量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6.9库存统计报表</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该表运用于库存盘点，统计在某个时间段或者单独的制剂出库、入库、截止库存量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7</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住院患者肠内营养制剂统计报表</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7.1制剂配制表</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住院或门诊处方收费之后会生成制剂配制清单，配制室打印配制清单进行制剂配制。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7.2制剂配送表</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配制完成后，打印配送报表进行配送，可根据收费日期、科室、配制、成品、使用时间等查询条件精确查询。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7.3制剂用量统计表</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统计住院或门诊制剂用量情况，可按照日期、制剂、出库方、科室等查询条件统计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7.4医嘱费用明细表</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1.统计营养诊疗系统收费明细。</w:t>
            </w:r>
          </w:p>
          <w:p>
            <w:pPr>
              <w:spacing w:line="240" w:lineRule="auto"/>
              <w:rPr>
                <w:rFonts w:ascii="宋体" w:hAnsi="宋体" w:cs="宋体"/>
                <w:sz w:val="21"/>
                <w:szCs w:val="21"/>
              </w:rPr>
            </w:pPr>
            <w:r>
              <w:rPr>
                <w:rFonts w:hint="eastAsia" w:ascii="宋体" w:hAnsi="宋体" w:cs="宋体"/>
                <w:sz w:val="21"/>
                <w:szCs w:val="21"/>
              </w:rPr>
              <w:t>2.类似患者一日清单，可统计出患者处方、日期、金额等信息。</w:t>
            </w:r>
          </w:p>
          <w:p>
            <w:pPr>
              <w:spacing w:line="240" w:lineRule="auto"/>
              <w:rPr>
                <w:rFonts w:ascii="宋体" w:hAnsi="宋体" w:cs="宋体"/>
                <w:sz w:val="21"/>
                <w:szCs w:val="21"/>
              </w:rPr>
            </w:pPr>
            <w:r>
              <w:rPr>
                <w:rFonts w:hint="eastAsia" w:ascii="宋体" w:hAnsi="宋体" w:cs="宋体"/>
                <w:sz w:val="21"/>
                <w:szCs w:val="21"/>
              </w:rPr>
              <w:t>3.可按科室、患者、日期精确统计费用信息。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门诊统计报表</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7.5处方费用明细表</w:t>
            </w:r>
          </w:p>
        </w:tc>
        <w:tc>
          <w:tcPr>
            <w:tcW w:w="3740" w:type="pct"/>
            <w:shd w:val="clear" w:color="auto" w:fill="auto"/>
            <w:tcMar>
              <w:top w:w="0" w:type="dxa"/>
              <w:left w:w="57" w:type="dxa"/>
              <w:bottom w:w="0" w:type="dxa"/>
              <w:right w:w="57" w:type="dxa"/>
            </w:tcMar>
            <w:vAlign w:val="center"/>
          </w:tcPr>
          <w:p>
            <w:pPr>
              <w:spacing w:line="240" w:lineRule="auto"/>
              <w:jc w:val="both"/>
              <w:rPr>
                <w:rFonts w:ascii="宋体" w:hAnsi="宋体" w:cs="宋体"/>
                <w:sz w:val="21"/>
                <w:szCs w:val="21"/>
              </w:rPr>
            </w:pPr>
            <w:r>
              <w:rPr>
                <w:rFonts w:hint="eastAsia" w:ascii="宋体" w:hAnsi="宋体" w:cs="宋体"/>
                <w:sz w:val="21"/>
                <w:szCs w:val="21"/>
              </w:rPr>
              <w:t>1.统计营养门诊收费明细；可统计出患者处方、日期、金额等信息。</w:t>
            </w:r>
          </w:p>
          <w:p>
            <w:pPr>
              <w:spacing w:line="240" w:lineRule="auto"/>
              <w:jc w:val="both"/>
              <w:rPr>
                <w:rFonts w:ascii="宋体" w:hAnsi="宋体" w:cs="宋体"/>
                <w:sz w:val="21"/>
                <w:szCs w:val="21"/>
              </w:rPr>
            </w:pPr>
            <w:r>
              <w:rPr>
                <w:rFonts w:hint="eastAsia" w:ascii="宋体" w:hAnsi="宋体" w:cs="宋体"/>
                <w:sz w:val="21"/>
                <w:szCs w:val="21"/>
              </w:rPr>
              <w:t>2.可按科室、患者、日期精确统计费用信息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8</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肠内营养制剂收费系统</w:t>
            </w:r>
          </w:p>
        </w:tc>
        <w:tc>
          <w:tcPr>
            <w:tcW w:w="771" w:type="pct"/>
            <w:gridSpan w:val="2"/>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sz w:val="21"/>
                <w:szCs w:val="21"/>
              </w:rPr>
              <w:t>8.1充值结算</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1.根据医院要求，营养诊疗系统单独收费可使用充值结算模式；</w:t>
            </w:r>
          </w:p>
          <w:p>
            <w:pPr>
              <w:spacing w:line="240" w:lineRule="auto"/>
              <w:rPr>
                <w:rFonts w:ascii="宋体" w:hAnsi="宋体" w:cs="宋体"/>
                <w:sz w:val="21"/>
                <w:szCs w:val="21"/>
              </w:rPr>
            </w:pPr>
            <w:r>
              <w:rPr>
                <w:rFonts w:hint="eastAsia" w:ascii="宋体" w:hAnsi="宋体" w:cs="宋体"/>
                <w:sz w:val="21"/>
                <w:szCs w:val="21"/>
              </w:rPr>
              <w:t>2.输入患者住院号查询出患者，输入充值金额完成充值并打印充值凭证给患者，患者凭借充值凭证出院后到指定窗口进行费用结算打印结算凭证。</w:t>
            </w:r>
          </w:p>
          <w:p>
            <w:pPr>
              <w:spacing w:line="240" w:lineRule="auto"/>
              <w:rPr>
                <w:rFonts w:ascii="宋体" w:hAnsi="宋体" w:cs="宋体"/>
                <w:sz w:val="21"/>
                <w:szCs w:val="21"/>
              </w:rPr>
            </w:pPr>
            <w:r>
              <w:rPr>
                <w:rFonts w:hint="eastAsia" w:ascii="宋体" w:hAnsi="宋体" w:cs="宋体"/>
                <w:sz w:val="21"/>
                <w:szCs w:val="21"/>
              </w:rPr>
              <w:t>3.充值错误可进行作废处理。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sz w:val="21"/>
                <w:szCs w:val="21"/>
              </w:rPr>
              <w:t>8.2充值结算流水</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收费员可查询当日或者某个时间段或某个患者查询充值流水，可显示患者充值金额、充值时间、可补打充值凭证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sz w:val="21"/>
                <w:szCs w:val="21"/>
              </w:rPr>
              <w:t>8.3交款</w:t>
            </w:r>
          </w:p>
        </w:tc>
        <w:tc>
          <w:tcPr>
            <w:tcW w:w="3740" w:type="pct"/>
            <w:shd w:val="clear" w:color="auto" w:fill="auto"/>
            <w:tcMar>
              <w:top w:w="0" w:type="dxa"/>
              <w:left w:w="57" w:type="dxa"/>
              <w:bottom w:w="0" w:type="dxa"/>
              <w:right w:w="57" w:type="dxa"/>
            </w:tcMar>
            <w:vAlign w:val="center"/>
          </w:tcPr>
          <w:p>
            <w:pPr>
              <w:spacing w:line="240" w:lineRule="auto"/>
              <w:jc w:val="both"/>
              <w:rPr>
                <w:rFonts w:ascii="宋体" w:hAnsi="宋体" w:cs="宋体"/>
                <w:sz w:val="21"/>
                <w:szCs w:val="21"/>
              </w:rPr>
            </w:pPr>
            <w:r>
              <w:rPr>
                <w:rFonts w:hint="eastAsia" w:ascii="宋体" w:hAnsi="宋体" w:cs="宋体"/>
                <w:sz w:val="21"/>
                <w:szCs w:val="21"/>
              </w:rPr>
              <w:t>用户可输入日期，统计该时间段内的充值、结算、作废等信息。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sz w:val="21"/>
                <w:szCs w:val="21"/>
              </w:rPr>
              <w:t>8.4交款汇总表</w:t>
            </w:r>
          </w:p>
        </w:tc>
        <w:tc>
          <w:tcPr>
            <w:tcW w:w="3740" w:type="pct"/>
            <w:shd w:val="clear" w:color="auto" w:fill="auto"/>
            <w:tcMar>
              <w:top w:w="0" w:type="dxa"/>
              <w:left w:w="57" w:type="dxa"/>
              <w:bottom w:w="0" w:type="dxa"/>
              <w:right w:w="57" w:type="dxa"/>
            </w:tcMar>
            <w:vAlign w:val="center"/>
          </w:tcPr>
          <w:p>
            <w:pPr>
              <w:spacing w:line="240" w:lineRule="auto"/>
              <w:jc w:val="both"/>
              <w:rPr>
                <w:rFonts w:hint="eastAsia" w:ascii="宋体" w:hAnsi="宋体" w:cs="宋体"/>
                <w:sz w:val="21"/>
                <w:szCs w:val="21"/>
              </w:rPr>
            </w:pPr>
            <w:r>
              <w:rPr>
                <w:rFonts w:hint="eastAsia" w:ascii="宋体" w:hAnsi="宋体" w:cs="宋体"/>
                <w:sz w:val="21"/>
                <w:szCs w:val="21"/>
              </w:rPr>
              <w:t>选择日期可统计出该时间范围的充值、结算、作废和交款金额等，可打印报表。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left"/>
              <w:rPr>
                <w:rFonts w:ascii="宋体" w:hAnsi="宋体" w:cs="宋体"/>
                <w:b/>
                <w:bCs/>
                <w:sz w:val="21"/>
                <w:szCs w:val="21"/>
              </w:rPr>
            </w:pPr>
            <w:r>
              <w:rPr>
                <w:rFonts w:hint="eastAsia" w:ascii="宋体" w:hAnsi="宋体" w:cs="宋体"/>
                <w:b/>
                <w:bCs/>
                <w:sz w:val="21"/>
                <w:szCs w:val="21"/>
              </w:rPr>
              <w:t>8.5收支明细表</w:t>
            </w:r>
          </w:p>
        </w:tc>
        <w:tc>
          <w:tcPr>
            <w:tcW w:w="3740" w:type="pct"/>
            <w:shd w:val="clear" w:color="auto" w:fill="auto"/>
            <w:tcMar>
              <w:top w:w="0" w:type="dxa"/>
              <w:left w:w="57" w:type="dxa"/>
              <w:bottom w:w="0" w:type="dxa"/>
              <w:right w:w="57" w:type="dxa"/>
            </w:tcMar>
          </w:tcPr>
          <w:p>
            <w:pPr>
              <w:spacing w:line="240" w:lineRule="auto"/>
              <w:jc w:val="both"/>
              <w:rPr>
                <w:rFonts w:hint="eastAsia" w:ascii="宋体" w:hAnsi="宋体" w:cs="宋体"/>
                <w:sz w:val="21"/>
                <w:szCs w:val="21"/>
              </w:rPr>
            </w:pPr>
            <w:r>
              <w:rPr>
                <w:rFonts w:hint="eastAsia" w:ascii="宋体" w:hAnsi="宋体" w:cs="宋体"/>
                <w:sz w:val="21"/>
                <w:szCs w:val="21"/>
              </w:rPr>
              <w:t>1.可根据日期，作废、结算等选择条件进行查询。</w:t>
            </w:r>
          </w:p>
          <w:p>
            <w:pPr>
              <w:spacing w:line="240" w:lineRule="auto"/>
              <w:jc w:val="both"/>
              <w:rPr>
                <w:rFonts w:hint="eastAsia" w:ascii="宋体" w:hAnsi="宋体" w:cs="宋体"/>
                <w:sz w:val="21"/>
                <w:szCs w:val="21"/>
              </w:rPr>
            </w:pPr>
            <w:r>
              <w:rPr>
                <w:rFonts w:hint="eastAsia" w:ascii="宋体" w:hAnsi="宋体" w:cs="宋体"/>
                <w:sz w:val="21"/>
                <w:szCs w:val="21"/>
              </w:rPr>
              <w:t>2.可统计该时间段内的充值、结算、作废等信息。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系统设置</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9.1用户管理</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管理员可新增、删除、修改、导出用户列表，用户管理作用创建用户登录账号，分配角色。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9.2角色管理</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根据不同的角色分配系统菜单上的功能，同时也体现在创建用户时去选择角色，作用时分配角色访问权限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9.3菜单管理</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经过迭代的功能在菜单目录里添加功能，该功能一般系统管理员操作。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9.4制剂管理</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1.新引进的产品可以在制剂管理中进行新增，填写制剂名称、价格、规格、营养素设置等。</w:t>
            </w:r>
          </w:p>
          <w:p>
            <w:pPr>
              <w:spacing w:line="240" w:lineRule="auto"/>
              <w:rPr>
                <w:rFonts w:ascii="宋体" w:hAnsi="宋体" w:cs="宋体"/>
                <w:sz w:val="21"/>
                <w:szCs w:val="21"/>
              </w:rPr>
            </w:pPr>
            <w:r>
              <w:rPr>
                <w:rFonts w:hint="eastAsia" w:ascii="宋体" w:hAnsi="宋体" w:cs="宋体"/>
                <w:sz w:val="21"/>
                <w:szCs w:val="21"/>
              </w:rPr>
              <w:t>2.可在其他配制设置协定处方模式例如匀浆膳对应制剂1、制剂2等产品。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9.5供应商维护</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对于不同的制剂生产厂家需要维护供应商名称，供应商的联系人及联系方式。作用于制剂入库可展示供应商，也可用于统计供应商的制剂种类、截止库存、采购金额等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sz w:val="21"/>
                <w:szCs w:val="21"/>
                <w:shd w:val="clear" w:color="auto" w:fill="FFFFFF"/>
              </w:rPr>
              <w:t>▲</w:t>
            </w:r>
            <w:r>
              <w:rPr>
                <w:rFonts w:hint="eastAsia" w:ascii="宋体" w:hAnsi="宋体" w:cs="宋体"/>
                <w:b/>
                <w:bCs/>
                <w:sz w:val="21"/>
                <w:szCs w:val="21"/>
              </w:rPr>
              <w:t>9.6库管设置</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库存预警，作用于下达处方提示该制剂库存不足，下达处方用量大于或等于该制剂库存量就会提示库存不足，按照医院要求进行设置库存低限。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9.7食材管理</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现有三千种食材、基本满足三级以上的医院使用，用于24小时膳调、营养配餐。可新增当地特色食材、维护好该食材营养素分析。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9.8膳食大类设置</w:t>
            </w:r>
          </w:p>
        </w:tc>
        <w:tc>
          <w:tcPr>
            <w:tcW w:w="3740" w:type="pct"/>
            <w:shd w:val="clear" w:color="auto" w:fill="auto"/>
            <w:tcMar>
              <w:top w:w="0" w:type="dxa"/>
              <w:left w:w="57" w:type="dxa"/>
              <w:bottom w:w="0" w:type="dxa"/>
              <w:right w:w="57" w:type="dxa"/>
            </w:tcMar>
            <w:vAlign w:val="center"/>
          </w:tcPr>
          <w:p>
            <w:pPr>
              <w:spacing w:line="240" w:lineRule="auto"/>
              <w:jc w:val="both"/>
              <w:rPr>
                <w:rFonts w:ascii="宋体" w:hAnsi="宋体" w:cs="宋体"/>
                <w:sz w:val="21"/>
                <w:szCs w:val="21"/>
              </w:rPr>
            </w:pPr>
            <w:r>
              <w:rPr>
                <w:rFonts w:hint="eastAsia" w:ascii="宋体" w:hAnsi="宋体" w:cs="宋体"/>
                <w:sz w:val="21"/>
                <w:szCs w:val="21"/>
              </w:rPr>
              <w:t>不同种类的食物进行归类、可设置均值分析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9.9链接设置</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支持通过第三方系统调用营养系统而给出的链接，第三方系统在系统里嵌入链接用户点击即可跳转到营养系统指定的调用页面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10</w:t>
            </w:r>
          </w:p>
        </w:tc>
        <w:tc>
          <w:tcPr>
            <w:tcW w:w="278"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移动诊疗</w:t>
            </w: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kern w:val="0"/>
                <w:sz w:val="21"/>
                <w:szCs w:val="21"/>
              </w:rPr>
            </w:pPr>
            <w:r>
              <w:rPr>
                <w:rFonts w:hint="eastAsia" w:ascii="宋体" w:hAnsi="宋体" w:cs="宋体"/>
                <w:b/>
                <w:bCs/>
                <w:kern w:val="0"/>
                <w:sz w:val="21"/>
                <w:szCs w:val="21"/>
              </w:rPr>
              <w:t>10.1一键导航</w:t>
            </w:r>
          </w:p>
        </w:tc>
        <w:tc>
          <w:tcPr>
            <w:tcW w:w="3740" w:type="pct"/>
            <w:shd w:val="clear" w:color="auto" w:fill="auto"/>
            <w:tcMar>
              <w:top w:w="0" w:type="dxa"/>
              <w:left w:w="57" w:type="dxa"/>
              <w:bottom w:w="0" w:type="dxa"/>
              <w:right w:w="57" w:type="dxa"/>
            </w:tcMar>
            <w:vAlign w:val="center"/>
          </w:tcPr>
          <w:p>
            <w:pPr>
              <w:spacing w:line="240" w:lineRule="auto"/>
              <w:jc w:val="left"/>
              <w:rPr>
                <w:rFonts w:ascii="宋体" w:hAnsi="宋体" w:cs="宋体"/>
                <w:kern w:val="0"/>
                <w:sz w:val="21"/>
                <w:szCs w:val="21"/>
              </w:rPr>
            </w:pPr>
            <w:r>
              <w:rPr>
                <w:rFonts w:hint="eastAsia" w:ascii="宋体" w:hAnsi="宋体" w:cs="宋体"/>
                <w:sz w:val="21"/>
                <w:szCs w:val="21"/>
              </w:rPr>
              <w:t>支持</w:t>
            </w:r>
            <w:r>
              <w:rPr>
                <w:rFonts w:hint="eastAsia" w:ascii="宋体" w:hAnsi="宋体" w:cs="宋体"/>
                <w:kern w:val="0"/>
                <w:sz w:val="21"/>
                <w:szCs w:val="21"/>
              </w:rPr>
              <w:t>快速打开不同功能页面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10.2筛评量表</w:t>
            </w:r>
          </w:p>
        </w:tc>
        <w:tc>
          <w:tcPr>
            <w:tcW w:w="3740" w:type="pct"/>
            <w:shd w:val="clear" w:color="auto" w:fill="auto"/>
            <w:tcMar>
              <w:top w:w="0" w:type="dxa"/>
              <w:left w:w="57" w:type="dxa"/>
              <w:bottom w:w="0" w:type="dxa"/>
              <w:right w:w="57" w:type="dxa"/>
            </w:tcMar>
            <w:vAlign w:val="center"/>
          </w:tcPr>
          <w:p>
            <w:pPr>
              <w:spacing w:line="240" w:lineRule="auto"/>
              <w:jc w:val="left"/>
              <w:rPr>
                <w:rFonts w:ascii="宋体" w:hAnsi="宋体" w:cs="宋体"/>
                <w:sz w:val="21"/>
                <w:szCs w:val="21"/>
              </w:rPr>
            </w:pPr>
            <w:r>
              <w:rPr>
                <w:rFonts w:hint="eastAsia" w:ascii="宋体" w:hAnsi="宋体" w:cs="宋体"/>
                <w:sz w:val="21"/>
                <w:szCs w:val="21"/>
              </w:rPr>
              <w:t>移动诊疗提供以下筛查评估量表，须包括：NRS2002、MUST、SGA、PG-SGA、STAMP、NUTRIC、MNA-SF、GLIM。。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10.3营养筛评工具</w:t>
            </w:r>
          </w:p>
        </w:tc>
        <w:tc>
          <w:tcPr>
            <w:tcW w:w="3740" w:type="pct"/>
            <w:shd w:val="clear" w:color="auto" w:fill="auto"/>
            <w:tcMar>
              <w:top w:w="0" w:type="dxa"/>
              <w:left w:w="57" w:type="dxa"/>
              <w:bottom w:w="0" w:type="dxa"/>
              <w:right w:w="57" w:type="dxa"/>
            </w:tcMar>
          </w:tcPr>
          <w:p>
            <w:pPr>
              <w:pStyle w:val="86"/>
              <w:spacing w:line="240" w:lineRule="auto"/>
              <w:ind w:firstLine="0" w:firstLineChars="0"/>
              <w:rPr>
                <w:rFonts w:ascii="宋体" w:hAnsi="宋体" w:cs="宋体"/>
                <w:sz w:val="21"/>
                <w:szCs w:val="21"/>
              </w:rPr>
            </w:pPr>
            <w:r>
              <w:rPr>
                <w:rFonts w:hint="eastAsia" w:ascii="宋体" w:hAnsi="宋体" w:cs="宋体"/>
                <w:sz w:val="21"/>
                <w:szCs w:val="21"/>
              </w:rPr>
              <w:t>1.移动诊疗模块需提供体格评估功能，包括：儿童体格评估、孕期体格评估。(</w:t>
            </w:r>
            <w:r>
              <w:rPr>
                <w:rFonts w:hint="eastAsia" w:ascii="宋体" w:hAnsi="宋体" w:cs="宋体"/>
                <w:b/>
                <w:bCs/>
                <w:sz w:val="21"/>
                <w:szCs w:val="21"/>
              </w:rPr>
              <w:t>功能要求见1.4、1.5</w:t>
            </w:r>
            <w:r>
              <w:rPr>
                <w:rFonts w:hint="eastAsia" w:ascii="宋体" w:hAnsi="宋体" w:cs="宋体"/>
                <w:sz w:val="21"/>
                <w:szCs w:val="21"/>
              </w:rPr>
              <w:t>).</w:t>
            </w:r>
          </w:p>
          <w:p>
            <w:pPr>
              <w:pStyle w:val="86"/>
              <w:spacing w:line="240" w:lineRule="auto"/>
              <w:ind w:firstLine="0" w:firstLineChars="0"/>
              <w:rPr>
                <w:rFonts w:ascii="宋体" w:hAnsi="宋体" w:cs="宋体"/>
                <w:sz w:val="21"/>
                <w:szCs w:val="21"/>
              </w:rPr>
            </w:pPr>
            <w:r>
              <w:rPr>
                <w:rFonts w:hint="eastAsia" w:ascii="宋体" w:hAnsi="宋体" w:cs="宋体"/>
                <w:sz w:val="21"/>
                <w:szCs w:val="21"/>
              </w:rPr>
              <w:t>2.移动诊疗模块需提供营养评估功能。(</w:t>
            </w:r>
            <w:r>
              <w:rPr>
                <w:rFonts w:hint="eastAsia" w:ascii="宋体" w:hAnsi="宋体" w:cs="宋体"/>
                <w:b/>
                <w:bCs/>
                <w:sz w:val="21"/>
                <w:szCs w:val="21"/>
              </w:rPr>
              <w:t>功能要求见1.2</w:t>
            </w:r>
            <w:r>
              <w:rPr>
                <w:rFonts w:hint="eastAsia" w:ascii="宋体" w:hAnsi="宋体" w:cs="宋体"/>
                <w:sz w:val="21"/>
                <w:szCs w:val="21"/>
              </w:rPr>
              <w:t>).</w:t>
            </w:r>
          </w:p>
          <w:p>
            <w:pPr>
              <w:pStyle w:val="86"/>
              <w:spacing w:line="240" w:lineRule="auto"/>
              <w:ind w:firstLine="0" w:firstLineChars="0"/>
              <w:rPr>
                <w:rFonts w:ascii="宋体" w:hAnsi="宋体" w:cs="宋体"/>
                <w:sz w:val="21"/>
                <w:szCs w:val="21"/>
              </w:rPr>
            </w:pPr>
            <w:r>
              <w:rPr>
                <w:rFonts w:hint="eastAsia" w:ascii="宋体" w:hAnsi="宋体" w:cs="宋体"/>
                <w:sz w:val="21"/>
                <w:szCs w:val="21"/>
              </w:rPr>
              <w:t>3.移动诊疗模块需提供膳食调查功能。(</w:t>
            </w:r>
            <w:r>
              <w:rPr>
                <w:rFonts w:hint="eastAsia" w:ascii="宋体" w:hAnsi="宋体" w:cs="宋体"/>
                <w:b/>
                <w:bCs/>
                <w:sz w:val="21"/>
                <w:szCs w:val="21"/>
              </w:rPr>
              <w:t>功能要求见1.3</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10.4营养治疗</w:t>
            </w:r>
          </w:p>
        </w:tc>
        <w:tc>
          <w:tcPr>
            <w:tcW w:w="3740" w:type="pct"/>
            <w:shd w:val="clear" w:color="auto" w:fill="auto"/>
            <w:tcMar>
              <w:top w:w="0" w:type="dxa"/>
              <w:left w:w="57" w:type="dxa"/>
              <w:bottom w:w="0" w:type="dxa"/>
              <w:right w:w="57" w:type="dxa"/>
            </w:tcMar>
          </w:tcPr>
          <w:p>
            <w:pPr>
              <w:pStyle w:val="86"/>
              <w:spacing w:line="240" w:lineRule="auto"/>
              <w:ind w:firstLine="52" w:firstLineChars="0"/>
              <w:rPr>
                <w:rFonts w:ascii="宋体" w:hAnsi="宋体" w:cs="宋体"/>
                <w:sz w:val="21"/>
                <w:szCs w:val="21"/>
              </w:rPr>
            </w:pPr>
            <w:r>
              <w:rPr>
                <w:rFonts w:hint="eastAsia" w:ascii="宋体" w:hAnsi="宋体" w:cs="宋体"/>
                <w:sz w:val="21"/>
                <w:szCs w:val="21"/>
              </w:rPr>
              <w:t>1.移动诊疗模块需提供营养配餐、交换份配餐功能。(</w:t>
            </w:r>
            <w:r>
              <w:rPr>
                <w:rFonts w:hint="eastAsia" w:ascii="宋体" w:hAnsi="宋体" w:cs="宋体"/>
                <w:b/>
                <w:bCs/>
                <w:sz w:val="21"/>
                <w:szCs w:val="21"/>
              </w:rPr>
              <w:t>功能要求见2.1、2.2</w:t>
            </w:r>
            <w:r>
              <w:rPr>
                <w:rFonts w:hint="eastAsia" w:ascii="宋体" w:hAnsi="宋体" w:cs="宋体"/>
                <w:sz w:val="21"/>
                <w:szCs w:val="21"/>
              </w:rPr>
              <w:t>).</w:t>
            </w:r>
          </w:p>
          <w:p>
            <w:pPr>
              <w:pStyle w:val="86"/>
              <w:spacing w:line="240" w:lineRule="auto"/>
              <w:ind w:firstLine="52" w:firstLineChars="0"/>
              <w:rPr>
                <w:rFonts w:ascii="宋体" w:hAnsi="宋体" w:cs="宋体"/>
                <w:sz w:val="21"/>
                <w:szCs w:val="21"/>
              </w:rPr>
            </w:pPr>
            <w:r>
              <w:rPr>
                <w:rFonts w:hint="eastAsia" w:ascii="宋体" w:hAnsi="宋体" w:cs="宋体"/>
                <w:sz w:val="21"/>
                <w:szCs w:val="21"/>
              </w:rPr>
              <w:t>2.移动诊疗模块需提供肠内营养处方、肿瘤患者智能化营养处方功能(</w:t>
            </w:r>
            <w:r>
              <w:rPr>
                <w:rFonts w:hint="eastAsia" w:ascii="宋体" w:hAnsi="宋体" w:cs="宋体"/>
                <w:b/>
                <w:bCs/>
                <w:sz w:val="21"/>
                <w:szCs w:val="21"/>
              </w:rPr>
              <w:t>功能要求见2.3、2.4</w:t>
            </w:r>
            <w:r>
              <w:rPr>
                <w:rFonts w:hint="eastAsia" w:ascii="宋体" w:hAnsi="宋体" w:cs="宋体"/>
                <w:sz w:val="21"/>
                <w:szCs w:val="21"/>
              </w:rPr>
              <w:t>)。</w:t>
            </w:r>
          </w:p>
          <w:p>
            <w:pPr>
              <w:pStyle w:val="86"/>
              <w:spacing w:line="240" w:lineRule="auto"/>
              <w:ind w:firstLine="52" w:firstLineChars="0"/>
              <w:rPr>
                <w:rFonts w:ascii="宋体" w:hAnsi="宋体" w:cs="宋体"/>
                <w:sz w:val="21"/>
                <w:szCs w:val="21"/>
              </w:rPr>
            </w:pPr>
            <w:r>
              <w:rPr>
                <w:rFonts w:hint="eastAsia" w:ascii="宋体" w:hAnsi="宋体" w:cs="宋体"/>
                <w:sz w:val="21"/>
                <w:szCs w:val="21"/>
              </w:rPr>
              <w:t>3.移动诊疗模块需提供运动处方、营养宣教功能(</w:t>
            </w:r>
            <w:r>
              <w:rPr>
                <w:rFonts w:hint="eastAsia" w:ascii="宋体" w:hAnsi="宋体" w:cs="宋体"/>
                <w:b/>
                <w:bCs/>
                <w:sz w:val="21"/>
                <w:szCs w:val="21"/>
              </w:rPr>
              <w:t>功能要求见2.6、2.8</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771"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r>
              <w:rPr>
                <w:rFonts w:hint="eastAsia" w:ascii="宋体" w:hAnsi="宋体" w:cs="宋体"/>
                <w:b/>
                <w:bCs/>
                <w:sz w:val="21"/>
                <w:szCs w:val="21"/>
              </w:rPr>
              <w:t>10.5营养医嘱</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sz w:val="21"/>
                <w:szCs w:val="21"/>
              </w:rPr>
              <w:t>1.对患者实际概况进行营养干预，可选择成品处方和配置处方。长期或临时处方。</w:t>
            </w:r>
          </w:p>
          <w:p>
            <w:pPr>
              <w:spacing w:line="240" w:lineRule="auto"/>
              <w:rPr>
                <w:rFonts w:ascii="宋体" w:hAnsi="宋体" w:cs="宋体"/>
                <w:sz w:val="21"/>
                <w:szCs w:val="21"/>
              </w:rPr>
            </w:pPr>
            <w:r>
              <w:rPr>
                <w:rFonts w:hint="eastAsia" w:ascii="宋体" w:hAnsi="宋体" w:cs="宋体"/>
                <w:sz w:val="21"/>
                <w:szCs w:val="21"/>
              </w:rPr>
              <w:t>2.可设置经典处方，下达处方时填入处方用量、途径、喂养方式、频率、液量、备注等，点击下达会自动计算出该处方的营养素分析。</w:t>
            </w:r>
          </w:p>
          <w:p>
            <w:pPr>
              <w:spacing w:line="240" w:lineRule="auto"/>
              <w:rPr>
                <w:rFonts w:ascii="宋体" w:hAnsi="宋体" w:cs="宋体"/>
                <w:sz w:val="21"/>
                <w:szCs w:val="21"/>
              </w:rPr>
            </w:pPr>
            <w:r>
              <w:rPr>
                <w:rFonts w:hint="eastAsia" w:ascii="宋体" w:hAnsi="宋体" w:cs="宋体"/>
                <w:sz w:val="21"/>
                <w:szCs w:val="21"/>
              </w:rPr>
              <w:t>3.可在肠内历次处方查看患者的处方状态，执行时间，处方明细。也可调用处方.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09"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sz w:val="21"/>
                <w:szCs w:val="21"/>
              </w:rPr>
              <w:t>11</w:t>
            </w:r>
          </w:p>
        </w:tc>
        <w:tc>
          <w:tcPr>
            <w:tcW w:w="278" w:type="pct"/>
            <w:vMerge w:val="restart"/>
            <w:shd w:val="clear" w:color="auto" w:fill="auto"/>
            <w:tcMar>
              <w:top w:w="0" w:type="dxa"/>
              <w:left w:w="57" w:type="dxa"/>
              <w:bottom w:w="0" w:type="dxa"/>
              <w:right w:w="57" w:type="dxa"/>
            </w:tcMar>
            <w:vAlign w:val="bottom"/>
          </w:tcPr>
          <w:p>
            <w:pPr>
              <w:spacing w:line="240" w:lineRule="auto"/>
              <w:jc w:val="center"/>
              <w:rPr>
                <w:rFonts w:ascii="宋体" w:hAnsi="宋体" w:cs="宋体"/>
                <w:b/>
                <w:bCs/>
                <w:sz w:val="21"/>
                <w:szCs w:val="21"/>
              </w:rPr>
            </w:pPr>
          </w:p>
          <w:p>
            <w:pPr>
              <w:spacing w:line="240" w:lineRule="auto"/>
              <w:jc w:val="center"/>
              <w:rPr>
                <w:rFonts w:ascii="宋体" w:hAnsi="宋体" w:cs="宋体"/>
                <w:b/>
                <w:bCs/>
                <w:sz w:val="21"/>
                <w:szCs w:val="21"/>
              </w:rPr>
            </w:pPr>
          </w:p>
          <w:p>
            <w:pPr>
              <w:spacing w:line="240" w:lineRule="auto"/>
              <w:jc w:val="center"/>
              <w:rPr>
                <w:rFonts w:ascii="宋体" w:hAnsi="宋体" w:cs="宋体"/>
                <w:b/>
                <w:bCs/>
                <w:sz w:val="21"/>
                <w:szCs w:val="21"/>
              </w:rPr>
            </w:pPr>
          </w:p>
          <w:p>
            <w:pPr>
              <w:spacing w:line="240" w:lineRule="auto"/>
              <w:jc w:val="center"/>
              <w:rPr>
                <w:rFonts w:ascii="宋体" w:hAnsi="宋体" w:cs="宋体"/>
                <w:b/>
                <w:bCs/>
                <w:sz w:val="21"/>
                <w:szCs w:val="21"/>
              </w:rPr>
            </w:pPr>
            <w:r>
              <w:rPr>
                <w:rFonts w:hint="eastAsia" w:ascii="宋体" w:hAnsi="宋体" w:cs="宋体"/>
                <w:b/>
                <w:bCs/>
                <w:sz w:val="21"/>
                <w:szCs w:val="21"/>
              </w:rPr>
              <w:t>院外</w:t>
            </w:r>
          </w:p>
          <w:p>
            <w:pPr>
              <w:spacing w:line="240" w:lineRule="auto"/>
              <w:rPr>
                <w:sz w:val="18"/>
                <w:szCs w:val="21"/>
              </w:rPr>
            </w:pPr>
          </w:p>
          <w:p>
            <w:pPr>
              <w:spacing w:line="240" w:lineRule="auto"/>
              <w:jc w:val="center"/>
              <w:rPr>
                <w:rFonts w:ascii="宋体" w:hAnsi="宋体" w:cs="宋体"/>
                <w:b/>
                <w:bCs/>
                <w:sz w:val="21"/>
                <w:szCs w:val="21"/>
              </w:rPr>
            </w:pPr>
            <w:r>
              <w:rPr>
                <w:rFonts w:hint="eastAsia" w:ascii="宋体" w:hAnsi="宋体" w:cs="宋体"/>
                <w:b/>
                <w:bCs/>
                <w:sz w:val="21"/>
                <w:szCs w:val="21"/>
              </w:rPr>
              <w:t>营养</w:t>
            </w:r>
          </w:p>
          <w:p>
            <w:pPr>
              <w:spacing w:line="240" w:lineRule="auto"/>
              <w:jc w:val="center"/>
              <w:rPr>
                <w:rFonts w:ascii="宋体" w:hAnsi="宋体" w:cs="宋体"/>
                <w:b/>
                <w:bCs/>
                <w:sz w:val="21"/>
                <w:szCs w:val="21"/>
              </w:rPr>
            </w:pPr>
          </w:p>
          <w:p>
            <w:pPr>
              <w:spacing w:line="240" w:lineRule="auto"/>
              <w:jc w:val="center"/>
              <w:rPr>
                <w:rFonts w:ascii="宋体" w:hAnsi="宋体" w:cs="宋体"/>
                <w:b/>
                <w:bCs/>
                <w:sz w:val="21"/>
                <w:szCs w:val="21"/>
              </w:rPr>
            </w:pPr>
            <w:r>
              <w:rPr>
                <w:rFonts w:hint="eastAsia" w:ascii="宋体" w:hAnsi="宋体" w:cs="宋体"/>
                <w:b/>
                <w:bCs/>
                <w:sz w:val="21"/>
                <w:szCs w:val="21"/>
              </w:rPr>
              <w:t>随访</w:t>
            </w:r>
          </w:p>
          <w:p>
            <w:pPr>
              <w:pStyle w:val="2"/>
              <w:spacing w:line="240" w:lineRule="auto"/>
              <w:rPr>
                <w:sz w:val="21"/>
                <w:szCs w:val="21"/>
              </w:rPr>
            </w:pPr>
          </w:p>
          <w:p>
            <w:pPr>
              <w:spacing w:line="240" w:lineRule="auto"/>
              <w:jc w:val="center"/>
              <w:rPr>
                <w:rFonts w:ascii="宋体" w:hAnsi="宋体" w:cs="宋体"/>
                <w:b/>
                <w:bCs/>
                <w:sz w:val="21"/>
                <w:szCs w:val="21"/>
              </w:rPr>
            </w:pPr>
            <w:r>
              <w:rPr>
                <w:rFonts w:hint="eastAsia" w:ascii="宋体" w:hAnsi="宋体" w:cs="宋体"/>
                <w:b/>
                <w:bCs/>
                <w:sz w:val="21"/>
                <w:szCs w:val="21"/>
              </w:rPr>
              <w:t>管理</w:t>
            </w:r>
          </w:p>
        </w:tc>
        <w:tc>
          <w:tcPr>
            <w:tcW w:w="290" w:type="pct"/>
            <w:vMerge w:val="restart"/>
            <w:shd w:val="clear" w:color="auto" w:fill="auto"/>
            <w:tcMar>
              <w:top w:w="0" w:type="dxa"/>
              <w:left w:w="57" w:type="dxa"/>
              <w:bottom w:w="0" w:type="dxa"/>
              <w:right w:w="57" w:type="dxa"/>
            </w:tcMar>
            <w:vAlign w:val="center"/>
          </w:tcPr>
          <w:p>
            <w:pPr>
              <w:spacing w:line="240" w:lineRule="auto"/>
              <w:rPr>
                <w:rFonts w:ascii="宋体" w:hAnsi="宋体" w:cs="宋体"/>
                <w:b/>
                <w:bCs/>
                <w:kern w:val="0"/>
                <w:sz w:val="21"/>
                <w:szCs w:val="21"/>
              </w:rPr>
            </w:pPr>
            <w:r>
              <w:rPr>
                <w:rFonts w:hint="eastAsia" w:ascii="宋体" w:hAnsi="宋体" w:cs="宋体"/>
                <w:b/>
                <w:bCs/>
                <w:kern w:val="0"/>
                <w:sz w:val="21"/>
                <w:szCs w:val="21"/>
              </w:rPr>
              <w:t>11.1</w:t>
            </w:r>
          </w:p>
          <w:p>
            <w:pPr>
              <w:spacing w:line="240" w:lineRule="auto"/>
              <w:rPr>
                <w:rFonts w:hint="eastAsia" w:ascii="宋体" w:hAnsi="宋体" w:cs="宋体"/>
                <w:b/>
                <w:bCs/>
                <w:kern w:val="0"/>
                <w:sz w:val="21"/>
                <w:szCs w:val="21"/>
              </w:rPr>
            </w:pPr>
            <w:r>
              <w:rPr>
                <w:rFonts w:hint="eastAsia" w:ascii="宋体" w:hAnsi="宋体" w:cs="宋体"/>
                <w:b/>
                <w:bCs/>
                <w:kern w:val="0"/>
                <w:sz w:val="21"/>
                <w:szCs w:val="21"/>
              </w:rPr>
              <w:t>医</w:t>
            </w:r>
          </w:p>
          <w:p>
            <w:pPr>
              <w:spacing w:line="240" w:lineRule="auto"/>
              <w:rPr>
                <w:rFonts w:hint="eastAsia" w:ascii="宋体" w:hAnsi="宋体" w:cs="宋体"/>
                <w:b/>
                <w:bCs/>
                <w:kern w:val="0"/>
                <w:sz w:val="21"/>
                <w:szCs w:val="21"/>
              </w:rPr>
            </w:pPr>
            <w:r>
              <w:rPr>
                <w:rFonts w:hint="eastAsia" w:ascii="宋体" w:hAnsi="宋体" w:cs="宋体"/>
                <w:b/>
                <w:bCs/>
                <w:kern w:val="0"/>
                <w:sz w:val="21"/>
                <w:szCs w:val="21"/>
              </w:rPr>
              <w:t>生</w:t>
            </w:r>
          </w:p>
          <w:p>
            <w:pPr>
              <w:spacing w:line="240" w:lineRule="auto"/>
              <w:rPr>
                <w:rFonts w:ascii="宋体" w:hAnsi="宋体" w:cs="宋体"/>
                <w:b/>
                <w:bCs/>
                <w:sz w:val="21"/>
                <w:szCs w:val="21"/>
              </w:rPr>
            </w:pPr>
            <w:r>
              <w:rPr>
                <w:rFonts w:hint="eastAsia" w:ascii="宋体" w:hAnsi="宋体" w:cs="宋体"/>
                <w:b/>
                <w:bCs/>
                <w:kern w:val="0"/>
                <w:sz w:val="21"/>
                <w:szCs w:val="21"/>
              </w:rPr>
              <w:t>端</w:t>
            </w: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11.1.1</w:t>
            </w:r>
          </w:p>
          <w:p>
            <w:pPr>
              <w:spacing w:line="240" w:lineRule="auto"/>
              <w:rPr>
                <w:rFonts w:ascii="宋体" w:hAnsi="宋体" w:cs="宋体"/>
                <w:b/>
                <w:bCs/>
                <w:sz w:val="20"/>
                <w:szCs w:val="20"/>
              </w:rPr>
            </w:pPr>
            <w:r>
              <w:rPr>
                <w:rFonts w:hint="eastAsia" w:ascii="宋体" w:hAnsi="宋体" w:cs="宋体"/>
                <w:b/>
                <w:bCs/>
                <w:kern w:val="0"/>
                <w:sz w:val="20"/>
                <w:szCs w:val="20"/>
              </w:rPr>
              <w:t>留言</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分页展示不同患者的聊天框，可根据关键词搜索。</w:t>
            </w:r>
          </w:p>
          <w:p>
            <w:pPr>
              <w:spacing w:line="240" w:lineRule="auto"/>
              <w:rPr>
                <w:rFonts w:ascii="宋体" w:hAnsi="宋体" w:cs="宋体"/>
                <w:sz w:val="21"/>
                <w:szCs w:val="21"/>
              </w:rPr>
            </w:pPr>
            <w:r>
              <w:rPr>
                <w:rFonts w:hint="eastAsia" w:ascii="宋体" w:hAnsi="宋体" w:cs="宋体"/>
                <w:kern w:val="0"/>
                <w:sz w:val="21"/>
                <w:szCs w:val="21"/>
              </w:rPr>
              <w:t>可给该患者和患者的营养师发送消息。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b/>
                <w:bCs/>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11.1.2</w:t>
            </w:r>
          </w:p>
          <w:p>
            <w:pPr>
              <w:spacing w:line="240" w:lineRule="auto"/>
              <w:rPr>
                <w:rFonts w:ascii="宋体" w:hAnsi="宋体" w:cs="宋体"/>
                <w:b/>
                <w:bCs/>
                <w:sz w:val="20"/>
                <w:szCs w:val="20"/>
              </w:rPr>
            </w:pPr>
            <w:r>
              <w:rPr>
                <w:rFonts w:hint="eastAsia" w:ascii="宋体" w:hAnsi="宋体" w:cs="宋体"/>
                <w:b/>
                <w:bCs/>
                <w:kern w:val="0"/>
                <w:sz w:val="20"/>
                <w:szCs w:val="20"/>
              </w:rPr>
              <w:t>数据统计</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展示患者情况及总体患者体重变化统计图。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11.1.3</w:t>
            </w:r>
          </w:p>
          <w:p>
            <w:pPr>
              <w:spacing w:line="240" w:lineRule="auto"/>
              <w:rPr>
                <w:rFonts w:ascii="宋体" w:hAnsi="宋体" w:cs="宋体"/>
                <w:b/>
                <w:bCs/>
                <w:sz w:val="20"/>
                <w:szCs w:val="20"/>
              </w:rPr>
            </w:pPr>
            <w:r>
              <w:rPr>
                <w:rFonts w:hint="eastAsia" w:ascii="宋体" w:hAnsi="宋体" w:cs="宋体"/>
                <w:b/>
                <w:bCs/>
                <w:kern w:val="0"/>
                <w:sz w:val="20"/>
                <w:szCs w:val="20"/>
              </w:rPr>
              <w:t>摄入不足患者</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1.显示摄入不足的患者数量。</w:t>
            </w:r>
          </w:p>
          <w:p>
            <w:pPr>
              <w:spacing w:line="240" w:lineRule="auto"/>
              <w:rPr>
                <w:rFonts w:ascii="宋体" w:hAnsi="宋体" w:cs="宋体"/>
                <w:sz w:val="21"/>
                <w:szCs w:val="21"/>
              </w:rPr>
            </w:pPr>
            <w:r>
              <w:rPr>
                <w:rFonts w:hint="eastAsia" w:ascii="宋体" w:hAnsi="宋体" w:cs="宋体"/>
                <w:kern w:val="0"/>
                <w:sz w:val="21"/>
                <w:szCs w:val="21"/>
              </w:rPr>
              <w:t>2.点击后可以跳转到患者列表页面显示具体的摄入不足患者。摄入不足含能量蛋白质摄入值，没有达到处方中推荐的值。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11.1.4</w:t>
            </w:r>
          </w:p>
          <w:p>
            <w:pPr>
              <w:spacing w:line="240" w:lineRule="auto"/>
              <w:rPr>
                <w:rFonts w:ascii="宋体" w:hAnsi="宋体" w:cs="宋体"/>
                <w:b/>
                <w:bCs/>
                <w:sz w:val="20"/>
                <w:szCs w:val="20"/>
              </w:rPr>
            </w:pPr>
            <w:r>
              <w:rPr>
                <w:rFonts w:hint="eastAsia" w:ascii="宋体" w:hAnsi="宋体" w:cs="宋体"/>
                <w:sz w:val="21"/>
                <w:szCs w:val="21"/>
                <w:shd w:val="clear" w:color="auto" w:fill="FFFFFF"/>
              </w:rPr>
              <w:t>▲</w:t>
            </w:r>
            <w:r>
              <w:rPr>
                <w:rFonts w:hint="eastAsia" w:ascii="宋体" w:hAnsi="宋体" w:cs="宋体"/>
                <w:b/>
                <w:bCs/>
                <w:kern w:val="0"/>
                <w:sz w:val="20"/>
                <w:szCs w:val="20"/>
              </w:rPr>
              <w:t>首页二维码</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患者使用微信扫描二维码，可以创建患者端账号及绑定医生。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11.1.5</w:t>
            </w:r>
          </w:p>
          <w:p>
            <w:pPr>
              <w:spacing w:line="240" w:lineRule="auto"/>
              <w:rPr>
                <w:rFonts w:ascii="宋体" w:hAnsi="宋体" w:cs="宋体"/>
                <w:b/>
                <w:bCs/>
                <w:sz w:val="20"/>
                <w:szCs w:val="20"/>
              </w:rPr>
            </w:pPr>
            <w:r>
              <w:rPr>
                <w:rFonts w:hint="eastAsia" w:ascii="宋体" w:hAnsi="宋体" w:cs="宋体"/>
                <w:b/>
                <w:bCs/>
                <w:kern w:val="0"/>
                <w:sz w:val="20"/>
                <w:szCs w:val="20"/>
              </w:rPr>
              <w:t>患者详情</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sz w:val="21"/>
                <w:szCs w:val="21"/>
              </w:rPr>
              <w:t>1.支持</w:t>
            </w:r>
            <w:r>
              <w:rPr>
                <w:rFonts w:hint="eastAsia" w:ascii="宋体" w:hAnsi="宋体" w:cs="宋体"/>
                <w:kern w:val="0"/>
                <w:sz w:val="21"/>
                <w:szCs w:val="21"/>
              </w:rPr>
              <w:t>展示患者的信息，可拨打患者电话；</w:t>
            </w:r>
          </w:p>
          <w:p>
            <w:pPr>
              <w:spacing w:line="240" w:lineRule="auto"/>
              <w:rPr>
                <w:rFonts w:ascii="宋体" w:hAnsi="宋体" w:cs="宋体"/>
                <w:kern w:val="0"/>
                <w:sz w:val="21"/>
                <w:szCs w:val="21"/>
              </w:rPr>
            </w:pPr>
            <w:r>
              <w:rPr>
                <w:rFonts w:hint="eastAsia" w:ascii="宋体" w:hAnsi="宋体" w:cs="宋体"/>
                <w:sz w:val="21"/>
                <w:szCs w:val="21"/>
              </w:rPr>
              <w:t>2.支持</w:t>
            </w:r>
            <w:r>
              <w:rPr>
                <w:rFonts w:hint="eastAsia" w:ascii="宋体" w:hAnsi="宋体" w:cs="宋体"/>
                <w:kern w:val="0"/>
                <w:sz w:val="21"/>
                <w:szCs w:val="21"/>
              </w:rPr>
              <w:t>显示出入院、治疗史、血液报告、ECOG、NRS2002、PG-SGA、MDASI、营养建议、康复日志、疗效评价、严重不良事件等功能按钮；</w:t>
            </w:r>
          </w:p>
          <w:p>
            <w:pPr>
              <w:spacing w:line="240" w:lineRule="auto"/>
              <w:rPr>
                <w:rFonts w:ascii="宋体" w:hAnsi="宋体" w:cs="宋体"/>
                <w:sz w:val="21"/>
                <w:szCs w:val="21"/>
              </w:rPr>
            </w:pPr>
            <w:r>
              <w:rPr>
                <w:rFonts w:hint="eastAsia" w:ascii="宋体" w:hAnsi="宋体" w:cs="宋体"/>
                <w:sz w:val="21"/>
                <w:szCs w:val="21"/>
              </w:rPr>
              <w:t>3.支持</w:t>
            </w:r>
            <w:r>
              <w:rPr>
                <w:rFonts w:hint="eastAsia" w:ascii="宋体" w:hAnsi="宋体" w:cs="宋体"/>
                <w:kern w:val="0"/>
                <w:sz w:val="21"/>
                <w:szCs w:val="21"/>
              </w:rPr>
              <w:t>展示出患者体重、去脂体重、握力、饮食评分及C反应蛋白、白蛋白等血液指标变化情况统计图。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11.1.6</w:t>
            </w:r>
          </w:p>
          <w:p>
            <w:pPr>
              <w:spacing w:line="240" w:lineRule="auto"/>
              <w:rPr>
                <w:rFonts w:ascii="宋体" w:hAnsi="宋体" w:cs="宋体"/>
                <w:b/>
                <w:bCs/>
                <w:sz w:val="20"/>
                <w:szCs w:val="20"/>
              </w:rPr>
            </w:pPr>
            <w:r>
              <w:rPr>
                <w:rFonts w:hint="eastAsia" w:ascii="宋体" w:hAnsi="宋体" w:cs="宋体"/>
                <w:b/>
                <w:bCs/>
                <w:kern w:val="0"/>
                <w:sz w:val="20"/>
                <w:szCs w:val="20"/>
              </w:rPr>
              <w:t>标签</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sz w:val="21"/>
                <w:szCs w:val="21"/>
              </w:rPr>
              <w:t>支持</w:t>
            </w:r>
            <w:r>
              <w:rPr>
                <w:rFonts w:hint="eastAsia" w:ascii="宋体" w:hAnsi="宋体" w:cs="宋体"/>
                <w:kern w:val="0"/>
                <w:sz w:val="21"/>
                <w:szCs w:val="21"/>
              </w:rPr>
              <w:t>根据患者情况显示不同标签，包括初始注册、随访、稳定、仅干预、暂不跟进、脱落、锁定、末期、已故等标签。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11.1.7</w:t>
            </w:r>
          </w:p>
          <w:p>
            <w:pPr>
              <w:spacing w:line="240" w:lineRule="auto"/>
              <w:rPr>
                <w:rFonts w:ascii="宋体" w:hAnsi="宋体" w:cs="宋体"/>
                <w:b/>
                <w:bCs/>
                <w:sz w:val="20"/>
                <w:szCs w:val="20"/>
              </w:rPr>
            </w:pPr>
            <w:r>
              <w:rPr>
                <w:rFonts w:hint="eastAsia" w:ascii="宋体" w:hAnsi="宋体" w:cs="宋体"/>
                <w:b/>
                <w:bCs/>
                <w:kern w:val="0"/>
                <w:sz w:val="20"/>
                <w:szCs w:val="20"/>
              </w:rPr>
              <w:t>开始随访</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sz w:val="21"/>
                <w:szCs w:val="21"/>
              </w:rPr>
              <w:t>1.支持</w:t>
            </w:r>
            <w:r>
              <w:rPr>
                <w:rFonts w:hint="eastAsia" w:ascii="宋体" w:hAnsi="宋体" w:cs="宋体"/>
                <w:kern w:val="0"/>
                <w:sz w:val="21"/>
                <w:szCs w:val="21"/>
              </w:rPr>
              <w:t>随访或新增患者昨天和今天的日志信息；</w:t>
            </w:r>
          </w:p>
          <w:p>
            <w:pPr>
              <w:spacing w:line="240" w:lineRule="auto"/>
              <w:rPr>
                <w:rFonts w:ascii="宋体" w:hAnsi="宋体" w:cs="宋体"/>
                <w:sz w:val="21"/>
                <w:szCs w:val="21"/>
              </w:rPr>
            </w:pPr>
            <w:r>
              <w:rPr>
                <w:rFonts w:hint="eastAsia" w:ascii="宋体" w:hAnsi="宋体" w:cs="宋体"/>
                <w:kern w:val="0"/>
                <w:sz w:val="21"/>
                <w:szCs w:val="21"/>
              </w:rPr>
              <w:t>2.包括患者基本情况、饮食详情、营养方案执行情况、营养摄入情况、用药情况、运动情况、睡眠情况、基本症状、全身症状、呼吸系统、消化系统、MDASI、下次沟通提醒、随访小结、随访状态、鼓励话术等。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11.1.8</w:t>
            </w:r>
          </w:p>
          <w:p>
            <w:pPr>
              <w:spacing w:line="240" w:lineRule="auto"/>
              <w:rPr>
                <w:rFonts w:ascii="宋体" w:hAnsi="宋体" w:cs="宋体"/>
                <w:b/>
                <w:bCs/>
                <w:sz w:val="20"/>
                <w:szCs w:val="20"/>
              </w:rPr>
            </w:pPr>
            <w:r>
              <w:rPr>
                <w:rFonts w:hint="eastAsia" w:ascii="宋体" w:hAnsi="宋体" w:cs="宋体"/>
                <w:b/>
                <w:bCs/>
                <w:kern w:val="0"/>
                <w:sz w:val="20"/>
                <w:szCs w:val="20"/>
              </w:rPr>
              <w:t>出入院</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w:t>
            </w:r>
            <w:r>
              <w:rPr>
                <w:rFonts w:hint="eastAsia" w:ascii="宋体" w:hAnsi="宋体" w:cs="宋体"/>
                <w:sz w:val="21"/>
                <w:szCs w:val="21"/>
              </w:rPr>
              <w:t>支持</w:t>
            </w:r>
            <w:r>
              <w:rPr>
                <w:rFonts w:hint="eastAsia" w:ascii="宋体" w:hAnsi="宋体" w:cs="宋体"/>
                <w:kern w:val="0"/>
                <w:sz w:val="21"/>
                <w:szCs w:val="21"/>
              </w:rPr>
              <w:t>查看、新增、修改和删除入院记录或出院记录；</w:t>
            </w:r>
          </w:p>
          <w:p>
            <w:pPr>
              <w:spacing w:line="240" w:lineRule="auto"/>
              <w:rPr>
                <w:rFonts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可查看修改和删除的操作记录。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11.1.9</w:t>
            </w:r>
          </w:p>
          <w:p>
            <w:pPr>
              <w:spacing w:line="240" w:lineRule="auto"/>
              <w:rPr>
                <w:rFonts w:ascii="宋体" w:hAnsi="宋体" w:cs="宋体"/>
                <w:b/>
                <w:bCs/>
                <w:sz w:val="20"/>
                <w:szCs w:val="20"/>
              </w:rPr>
            </w:pPr>
            <w:r>
              <w:rPr>
                <w:rFonts w:hint="eastAsia" w:ascii="宋体" w:hAnsi="宋体" w:cs="宋体"/>
                <w:b/>
                <w:bCs/>
                <w:kern w:val="0"/>
                <w:sz w:val="20"/>
                <w:szCs w:val="20"/>
              </w:rPr>
              <w:t>治疗史</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sz w:val="21"/>
                <w:szCs w:val="21"/>
              </w:rPr>
              <w:t>1.支持</w:t>
            </w:r>
            <w:r>
              <w:rPr>
                <w:rFonts w:hint="eastAsia" w:ascii="宋体" w:hAnsi="宋体" w:cs="宋体"/>
                <w:kern w:val="0"/>
                <w:sz w:val="21"/>
                <w:szCs w:val="21"/>
              </w:rPr>
              <w:t>查看、新增、修改和删除患者治疗史信息，可拍照自动识别文字。</w:t>
            </w:r>
          </w:p>
          <w:p>
            <w:pPr>
              <w:spacing w:line="240" w:lineRule="auto"/>
              <w:rPr>
                <w:rFonts w:ascii="宋体" w:hAnsi="宋体" w:cs="宋体"/>
                <w:sz w:val="21"/>
                <w:szCs w:val="21"/>
              </w:rPr>
            </w:pPr>
            <w:r>
              <w:rPr>
                <w:rFonts w:hint="eastAsia" w:ascii="宋体" w:hAnsi="宋体" w:cs="宋体"/>
                <w:kern w:val="0"/>
                <w:sz w:val="21"/>
                <w:szCs w:val="21"/>
              </w:rPr>
              <w:t>2.可查看修改和删除的操作记录。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sz w:val="20"/>
                <w:szCs w:val="20"/>
              </w:rPr>
            </w:pPr>
            <w:r>
              <w:rPr>
                <w:rFonts w:hint="eastAsia" w:ascii="宋体" w:hAnsi="宋体" w:cs="宋体"/>
                <w:b/>
                <w:bCs/>
                <w:kern w:val="0"/>
                <w:sz w:val="20"/>
                <w:szCs w:val="20"/>
              </w:rPr>
              <w:t>11.1.10血液报告</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sz w:val="21"/>
                <w:szCs w:val="21"/>
              </w:rPr>
              <w:t>1.支持</w:t>
            </w:r>
            <w:r>
              <w:rPr>
                <w:rFonts w:hint="eastAsia" w:ascii="宋体" w:hAnsi="宋体" w:cs="宋体"/>
                <w:kern w:val="0"/>
                <w:sz w:val="21"/>
                <w:szCs w:val="21"/>
              </w:rPr>
              <w:t>查看、新增、修改和删除血液报告记录，可以拍照上传图片具有剪切和OCR识别自动填写血液指标。</w:t>
            </w:r>
          </w:p>
          <w:p>
            <w:pPr>
              <w:spacing w:line="240" w:lineRule="auto"/>
              <w:rPr>
                <w:rFonts w:ascii="宋体" w:hAnsi="宋体" w:cs="宋体"/>
                <w:kern w:val="0"/>
                <w:sz w:val="21"/>
                <w:szCs w:val="21"/>
              </w:rPr>
            </w:pPr>
            <w:r>
              <w:rPr>
                <w:rFonts w:hint="eastAsia" w:ascii="宋体" w:hAnsi="宋体" w:cs="宋体"/>
                <w:kern w:val="0"/>
                <w:sz w:val="21"/>
                <w:szCs w:val="21"/>
              </w:rPr>
              <w:t>2.可查看修改和删除的操作记录。</w:t>
            </w:r>
          </w:p>
          <w:p>
            <w:pPr>
              <w:spacing w:line="240" w:lineRule="auto"/>
              <w:rPr>
                <w:rFonts w:ascii="宋体" w:hAnsi="宋体" w:cs="宋体"/>
                <w:sz w:val="21"/>
                <w:szCs w:val="21"/>
              </w:rPr>
            </w:pPr>
            <w:r>
              <w:rPr>
                <w:rFonts w:hint="eastAsia" w:ascii="宋体" w:hAnsi="宋体" w:cs="宋体"/>
                <w:kern w:val="0"/>
                <w:sz w:val="21"/>
                <w:szCs w:val="21"/>
              </w:rPr>
              <w:t>3.可以上传各项化验检查结果。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sz w:val="20"/>
                <w:szCs w:val="20"/>
              </w:rPr>
            </w:pPr>
            <w:r>
              <w:rPr>
                <w:rFonts w:hint="eastAsia" w:ascii="宋体" w:hAnsi="宋体" w:cs="宋体"/>
                <w:sz w:val="21"/>
                <w:szCs w:val="21"/>
                <w:shd w:val="clear" w:color="auto" w:fill="FFFFFF"/>
              </w:rPr>
              <w:t>▲</w:t>
            </w:r>
            <w:r>
              <w:rPr>
                <w:rFonts w:hint="eastAsia" w:ascii="宋体" w:hAnsi="宋体" w:cs="宋体"/>
                <w:b/>
                <w:bCs/>
                <w:kern w:val="0"/>
                <w:sz w:val="20"/>
                <w:szCs w:val="20"/>
              </w:rPr>
              <w:t>11.1.11</w:t>
            </w:r>
            <w:r>
              <w:rPr>
                <w:rFonts w:hint="eastAsia" w:ascii="宋体" w:hAnsi="宋体" w:cs="宋体"/>
                <w:b/>
                <w:bCs/>
                <w:sz w:val="20"/>
                <w:szCs w:val="20"/>
              </w:rPr>
              <w:t>筛评量表</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院外随访</w:t>
            </w:r>
            <w:r>
              <w:rPr>
                <w:rFonts w:hint="eastAsia" w:ascii="宋体" w:hAnsi="宋体" w:cs="宋体"/>
                <w:sz w:val="21"/>
                <w:szCs w:val="21"/>
              </w:rPr>
              <w:t>支持</w:t>
            </w:r>
            <w:r>
              <w:rPr>
                <w:rFonts w:hint="eastAsia" w:ascii="宋体" w:hAnsi="宋体" w:cs="宋体"/>
                <w:kern w:val="0"/>
                <w:sz w:val="21"/>
                <w:szCs w:val="21"/>
              </w:rPr>
              <w:t>提供NRS2002、PG-SGA等营养筛查工具。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11.1.12</w:t>
            </w:r>
          </w:p>
          <w:p>
            <w:pPr>
              <w:spacing w:line="240" w:lineRule="auto"/>
              <w:rPr>
                <w:rFonts w:ascii="宋体" w:hAnsi="宋体" w:cs="宋体"/>
                <w:b/>
                <w:bCs/>
                <w:sz w:val="20"/>
                <w:szCs w:val="20"/>
              </w:rPr>
            </w:pPr>
            <w:r>
              <w:rPr>
                <w:rFonts w:hint="eastAsia" w:ascii="宋体" w:hAnsi="宋体" w:cs="宋体"/>
                <w:b/>
                <w:bCs/>
                <w:kern w:val="0"/>
                <w:sz w:val="20"/>
                <w:szCs w:val="20"/>
              </w:rPr>
              <w:t>MDASI</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sz w:val="21"/>
                <w:szCs w:val="21"/>
              </w:rPr>
              <w:t>1.支持</w:t>
            </w:r>
            <w:r>
              <w:rPr>
                <w:rFonts w:hint="eastAsia" w:ascii="宋体" w:hAnsi="宋体" w:cs="宋体"/>
                <w:kern w:val="0"/>
                <w:sz w:val="21"/>
                <w:szCs w:val="21"/>
              </w:rPr>
              <w:t>查看、新增、修改和删除MDASI记录；可查看修改和删除的操作记录。</w:t>
            </w:r>
          </w:p>
          <w:p>
            <w:pPr>
              <w:spacing w:line="240" w:lineRule="auto"/>
              <w:rPr>
                <w:rFonts w:ascii="宋体" w:hAnsi="宋体" w:cs="宋体"/>
                <w:sz w:val="21"/>
                <w:szCs w:val="21"/>
              </w:rPr>
            </w:pPr>
            <w:r>
              <w:rPr>
                <w:rFonts w:hint="eastAsia" w:ascii="宋体" w:hAnsi="宋体" w:cs="宋体"/>
                <w:kern w:val="0"/>
                <w:sz w:val="21"/>
                <w:szCs w:val="21"/>
              </w:rPr>
              <w:t>2.根据症状严重程度、症状干扰生活程度评分。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sz w:val="20"/>
                <w:szCs w:val="20"/>
              </w:rPr>
            </w:pPr>
            <w:r>
              <w:rPr>
                <w:rFonts w:hint="eastAsia" w:ascii="宋体" w:hAnsi="宋体" w:cs="宋体"/>
                <w:b/>
                <w:bCs/>
                <w:kern w:val="0"/>
                <w:sz w:val="20"/>
                <w:szCs w:val="20"/>
              </w:rPr>
              <w:t>11.1.13</w:t>
            </w:r>
            <w:r>
              <w:rPr>
                <w:rFonts w:hint="eastAsia" w:ascii="宋体" w:hAnsi="宋体" w:cs="宋体"/>
                <w:b/>
                <w:bCs/>
                <w:kern w:val="0"/>
                <w:sz w:val="20"/>
                <w:szCs w:val="20"/>
                <w:shd w:val="clear" w:color="auto" w:fill="FFFFFF"/>
              </w:rPr>
              <w:t>简明膳食自评表</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展示简明膳食评分和干预后膳食评分的曲线变化图。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restart"/>
            <w:shd w:val="clear" w:color="auto" w:fill="auto"/>
            <w:tcMar>
              <w:top w:w="0" w:type="dxa"/>
              <w:left w:w="57" w:type="dxa"/>
              <w:bottom w:w="0" w:type="dxa"/>
              <w:right w:w="57" w:type="dxa"/>
            </w:tcMar>
            <w:vAlign w:val="center"/>
          </w:tcPr>
          <w:p>
            <w:pPr>
              <w:spacing w:line="240" w:lineRule="auto"/>
              <w:rPr>
                <w:rFonts w:ascii="宋体" w:hAnsi="宋体" w:cs="宋体"/>
                <w:b/>
                <w:bCs/>
                <w:kern w:val="0"/>
                <w:sz w:val="21"/>
                <w:szCs w:val="21"/>
              </w:rPr>
            </w:pPr>
            <w:r>
              <w:rPr>
                <w:rFonts w:hint="eastAsia" w:ascii="宋体" w:hAnsi="宋体" w:cs="宋体"/>
                <w:b/>
                <w:bCs/>
                <w:kern w:val="0"/>
                <w:sz w:val="21"/>
                <w:szCs w:val="21"/>
              </w:rPr>
              <w:t>11.1</w:t>
            </w:r>
          </w:p>
          <w:p>
            <w:pPr>
              <w:spacing w:line="240" w:lineRule="auto"/>
              <w:jc w:val="center"/>
              <w:rPr>
                <w:rFonts w:hint="eastAsia" w:ascii="宋体" w:hAnsi="宋体" w:cs="宋体"/>
                <w:b/>
                <w:bCs/>
                <w:kern w:val="0"/>
                <w:sz w:val="21"/>
                <w:szCs w:val="21"/>
              </w:rPr>
            </w:pPr>
            <w:r>
              <w:rPr>
                <w:rFonts w:hint="eastAsia" w:ascii="宋体" w:hAnsi="宋体" w:cs="宋体"/>
                <w:b/>
                <w:bCs/>
                <w:kern w:val="0"/>
                <w:sz w:val="21"/>
                <w:szCs w:val="21"/>
              </w:rPr>
              <w:t>医</w:t>
            </w:r>
          </w:p>
          <w:p>
            <w:pPr>
              <w:spacing w:line="240" w:lineRule="auto"/>
              <w:jc w:val="center"/>
              <w:rPr>
                <w:rFonts w:hint="eastAsia" w:ascii="宋体" w:hAnsi="宋体" w:cs="宋体"/>
                <w:b/>
                <w:bCs/>
                <w:kern w:val="0"/>
                <w:sz w:val="21"/>
                <w:szCs w:val="21"/>
              </w:rPr>
            </w:pPr>
            <w:r>
              <w:rPr>
                <w:rFonts w:hint="eastAsia" w:ascii="宋体" w:hAnsi="宋体" w:cs="宋体"/>
                <w:b/>
                <w:bCs/>
                <w:kern w:val="0"/>
                <w:sz w:val="21"/>
                <w:szCs w:val="21"/>
              </w:rPr>
              <w:t>生</w:t>
            </w:r>
          </w:p>
          <w:p>
            <w:pPr>
              <w:spacing w:line="240" w:lineRule="auto"/>
              <w:jc w:val="center"/>
              <w:rPr>
                <w:rFonts w:ascii="宋体" w:hAnsi="宋体" w:cs="宋体"/>
                <w:b/>
                <w:bCs/>
                <w:kern w:val="0"/>
                <w:sz w:val="21"/>
                <w:szCs w:val="21"/>
              </w:rPr>
            </w:pPr>
            <w:r>
              <w:rPr>
                <w:rFonts w:hint="eastAsia" w:ascii="宋体" w:hAnsi="宋体" w:cs="宋体"/>
                <w:b/>
                <w:bCs/>
                <w:kern w:val="0"/>
                <w:sz w:val="21"/>
                <w:szCs w:val="21"/>
              </w:rPr>
              <w:t>端</w:t>
            </w:r>
          </w:p>
          <w:p>
            <w:pPr>
              <w:spacing w:line="240" w:lineRule="auto"/>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sz w:val="20"/>
                <w:szCs w:val="20"/>
              </w:rPr>
            </w:pPr>
            <w:r>
              <w:rPr>
                <w:rFonts w:hint="eastAsia" w:ascii="宋体" w:hAnsi="宋体" w:cs="宋体"/>
                <w:sz w:val="21"/>
                <w:szCs w:val="21"/>
                <w:shd w:val="clear" w:color="auto" w:fill="FFFFFF"/>
              </w:rPr>
              <w:t>▲</w:t>
            </w:r>
            <w:r>
              <w:rPr>
                <w:rFonts w:hint="eastAsia" w:ascii="宋体" w:hAnsi="宋体" w:cs="宋体"/>
                <w:b/>
                <w:bCs/>
                <w:kern w:val="0"/>
                <w:sz w:val="20"/>
                <w:szCs w:val="20"/>
              </w:rPr>
              <w:t>11.1.14营养建议</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sz w:val="21"/>
                <w:szCs w:val="21"/>
                <w:shd w:val="clear" w:color="auto" w:fill="FFFFFF"/>
              </w:rPr>
              <w:t>1.</w:t>
            </w:r>
            <w:r>
              <w:rPr>
                <w:rFonts w:hint="eastAsia" w:ascii="宋体" w:hAnsi="宋体" w:cs="宋体"/>
                <w:kern w:val="0"/>
                <w:sz w:val="21"/>
                <w:szCs w:val="21"/>
              </w:rPr>
              <w:t>根据患者病情开具营养建议；可以查看、新增、修改和删除营养建议；可查看修改和删除的操作记录。</w:t>
            </w:r>
          </w:p>
          <w:p>
            <w:pPr>
              <w:spacing w:line="240" w:lineRule="auto"/>
              <w:rPr>
                <w:rFonts w:ascii="宋体" w:hAnsi="宋体" w:cs="宋体"/>
                <w:kern w:val="0"/>
                <w:sz w:val="21"/>
                <w:szCs w:val="21"/>
              </w:rPr>
            </w:pPr>
            <w:r>
              <w:rPr>
                <w:rFonts w:hint="eastAsia" w:ascii="宋体" w:hAnsi="宋体" w:cs="宋体"/>
                <w:kern w:val="0"/>
                <w:sz w:val="21"/>
                <w:szCs w:val="21"/>
              </w:rPr>
              <w:t>2.系统可根据患者的病理，治疗期、治疗阶段、治疗周期以及各项指标并发症等自动开具营养建议；</w:t>
            </w:r>
          </w:p>
          <w:p>
            <w:pPr>
              <w:spacing w:line="240" w:lineRule="auto"/>
              <w:rPr>
                <w:rFonts w:ascii="宋体" w:hAnsi="宋体" w:cs="宋体"/>
                <w:kern w:val="0"/>
                <w:sz w:val="21"/>
                <w:szCs w:val="21"/>
              </w:rPr>
            </w:pPr>
            <w:r>
              <w:rPr>
                <w:rFonts w:hint="eastAsia" w:ascii="宋体" w:hAnsi="宋体" w:cs="宋体"/>
                <w:kern w:val="0"/>
                <w:sz w:val="21"/>
                <w:szCs w:val="21"/>
              </w:rPr>
              <w:t>3.建议方案个体化的患者需要医生手动填写营养建议内容进行保存；</w:t>
            </w:r>
          </w:p>
          <w:p>
            <w:pPr>
              <w:spacing w:line="240" w:lineRule="auto"/>
              <w:rPr>
                <w:rFonts w:ascii="宋体" w:hAnsi="宋体" w:cs="宋体"/>
                <w:kern w:val="0"/>
                <w:sz w:val="21"/>
                <w:szCs w:val="21"/>
              </w:rPr>
            </w:pPr>
            <w:r>
              <w:rPr>
                <w:rFonts w:hint="eastAsia" w:ascii="宋体" w:hAnsi="宋体" w:cs="宋体"/>
                <w:kern w:val="0"/>
                <w:sz w:val="21"/>
                <w:szCs w:val="21"/>
              </w:rPr>
              <w:t>4.内容包括疾病情况、主/次治疗期、治疗方案、食物质地、膳食建议、加餐建议、营养方案、建议摄入能量蛋白质、运动建议、营养建议原则、其它补充、建议开具者。</w:t>
            </w:r>
          </w:p>
          <w:p>
            <w:pPr>
              <w:spacing w:line="240" w:lineRule="auto"/>
              <w:rPr>
                <w:rFonts w:ascii="宋体" w:hAnsi="宋体" w:cs="宋体"/>
                <w:sz w:val="21"/>
                <w:szCs w:val="21"/>
              </w:rPr>
            </w:pPr>
            <w:r>
              <w:rPr>
                <w:rFonts w:hint="eastAsia" w:ascii="宋体" w:hAnsi="宋体" w:cs="宋体"/>
                <w:kern w:val="0"/>
                <w:sz w:val="21"/>
                <w:szCs w:val="21"/>
              </w:rPr>
              <w:t>5.对开出的营养建议可以进行评价和反馈。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sz w:val="20"/>
                <w:szCs w:val="20"/>
              </w:rPr>
            </w:pPr>
            <w:r>
              <w:rPr>
                <w:rFonts w:hint="eastAsia" w:ascii="宋体" w:hAnsi="宋体" w:cs="宋体"/>
                <w:b/>
                <w:bCs/>
                <w:kern w:val="0"/>
                <w:sz w:val="20"/>
                <w:szCs w:val="20"/>
              </w:rPr>
              <w:t>11.1.15人体成分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1.系统可获取体成分报告数据；</w:t>
            </w:r>
          </w:p>
          <w:p>
            <w:pPr>
              <w:spacing w:line="240" w:lineRule="auto"/>
              <w:rPr>
                <w:rFonts w:ascii="宋体" w:hAnsi="宋体" w:cs="宋体"/>
                <w:kern w:val="0"/>
                <w:sz w:val="21"/>
                <w:szCs w:val="21"/>
              </w:rPr>
            </w:pPr>
            <w:r>
              <w:rPr>
                <w:rFonts w:hint="eastAsia" w:ascii="宋体" w:hAnsi="宋体" w:cs="宋体"/>
                <w:kern w:val="0"/>
                <w:sz w:val="21"/>
                <w:szCs w:val="21"/>
              </w:rPr>
              <w:t>2.可以查看各种指标数据；</w:t>
            </w:r>
          </w:p>
          <w:p>
            <w:pPr>
              <w:spacing w:line="240" w:lineRule="auto"/>
              <w:rPr>
                <w:rFonts w:ascii="宋体" w:hAnsi="宋体" w:cs="宋体"/>
                <w:sz w:val="21"/>
                <w:szCs w:val="21"/>
              </w:rPr>
            </w:pPr>
            <w:r>
              <w:rPr>
                <w:rFonts w:hint="eastAsia" w:ascii="宋体" w:hAnsi="宋体" w:cs="宋体"/>
                <w:kern w:val="0"/>
                <w:sz w:val="21"/>
                <w:szCs w:val="21"/>
              </w:rPr>
              <w:t>3.可以选择不同时间的数进行对比。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sz w:val="20"/>
                <w:szCs w:val="20"/>
              </w:rPr>
            </w:pPr>
            <w:r>
              <w:rPr>
                <w:rFonts w:hint="eastAsia" w:ascii="宋体" w:hAnsi="宋体" w:cs="宋体"/>
                <w:b/>
                <w:bCs/>
                <w:kern w:val="0"/>
                <w:sz w:val="20"/>
                <w:szCs w:val="20"/>
              </w:rPr>
              <w:t>11.1.16疗效评价</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sz w:val="21"/>
                <w:szCs w:val="21"/>
                <w:shd w:val="clear" w:color="auto" w:fill="FFFFFF"/>
              </w:rPr>
              <w:t>1.</w:t>
            </w:r>
            <w:r>
              <w:rPr>
                <w:rFonts w:hint="eastAsia" w:ascii="宋体" w:hAnsi="宋体" w:cs="宋体"/>
                <w:kern w:val="0"/>
                <w:sz w:val="21"/>
                <w:szCs w:val="21"/>
              </w:rPr>
              <w:t>对患者的疗效进行评价；</w:t>
            </w:r>
          </w:p>
          <w:p>
            <w:pPr>
              <w:spacing w:line="240" w:lineRule="auto"/>
              <w:rPr>
                <w:rFonts w:ascii="宋体" w:hAnsi="宋体" w:cs="宋体"/>
                <w:kern w:val="0"/>
                <w:sz w:val="21"/>
                <w:szCs w:val="21"/>
              </w:rPr>
            </w:pPr>
            <w:r>
              <w:rPr>
                <w:rFonts w:hint="eastAsia" w:ascii="宋体" w:hAnsi="宋体" w:cs="宋体"/>
                <w:kern w:val="0"/>
                <w:sz w:val="21"/>
                <w:szCs w:val="21"/>
              </w:rPr>
              <w:t>2.可以查看、新增、修改和删除疗效评价；</w:t>
            </w:r>
          </w:p>
          <w:p>
            <w:pPr>
              <w:spacing w:line="240" w:lineRule="auto"/>
              <w:rPr>
                <w:rFonts w:ascii="宋体" w:hAnsi="宋体" w:cs="宋体"/>
                <w:sz w:val="21"/>
                <w:szCs w:val="21"/>
              </w:rPr>
            </w:pPr>
            <w:r>
              <w:rPr>
                <w:rFonts w:hint="eastAsia" w:ascii="宋体" w:hAnsi="宋体" w:cs="宋体"/>
                <w:kern w:val="0"/>
                <w:sz w:val="21"/>
                <w:szCs w:val="21"/>
              </w:rPr>
              <w:t>3.可查看修改和删除的操作记录。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11.1.17</w:t>
            </w:r>
          </w:p>
          <w:p>
            <w:pPr>
              <w:spacing w:line="240" w:lineRule="auto"/>
              <w:rPr>
                <w:rFonts w:ascii="宋体" w:hAnsi="宋体" w:cs="宋体"/>
                <w:b/>
                <w:bCs/>
                <w:sz w:val="20"/>
                <w:szCs w:val="20"/>
              </w:rPr>
            </w:pPr>
            <w:r>
              <w:rPr>
                <w:rFonts w:hint="eastAsia" w:ascii="宋体" w:hAnsi="宋体" w:cs="宋体"/>
                <w:b/>
                <w:bCs/>
                <w:kern w:val="0"/>
                <w:sz w:val="20"/>
                <w:szCs w:val="20"/>
              </w:rPr>
              <w:t>患者列表</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w:t>
            </w:r>
            <w:r>
              <w:rPr>
                <w:rFonts w:hint="eastAsia" w:ascii="宋体" w:hAnsi="宋体" w:cs="宋体"/>
                <w:sz w:val="21"/>
                <w:szCs w:val="21"/>
              </w:rPr>
              <w:t>支持</w:t>
            </w:r>
            <w:r>
              <w:rPr>
                <w:rFonts w:hint="eastAsia" w:ascii="宋体" w:hAnsi="宋体" w:cs="宋体"/>
                <w:kern w:val="0"/>
                <w:sz w:val="21"/>
                <w:szCs w:val="21"/>
              </w:rPr>
              <w:t>分页展示患者数据，根据全部、新增、入组、在院、出院、数据管理、数据补录、密切关注、上传日志、摄入不足等标签区分患者；</w:t>
            </w:r>
          </w:p>
          <w:p>
            <w:pPr>
              <w:spacing w:line="240" w:lineRule="auto"/>
              <w:rPr>
                <w:rFonts w:ascii="宋体" w:hAnsi="宋体" w:cs="宋体"/>
                <w:kern w:val="0"/>
                <w:sz w:val="21"/>
                <w:szCs w:val="21"/>
              </w:rPr>
            </w:pPr>
            <w:r>
              <w:rPr>
                <w:rFonts w:hint="eastAsia" w:ascii="宋体" w:hAnsi="宋体" w:cs="宋体"/>
                <w:kern w:val="0"/>
                <w:sz w:val="21"/>
                <w:szCs w:val="21"/>
              </w:rPr>
              <w:t>2.可查看每个标签的说明；</w:t>
            </w:r>
          </w:p>
          <w:p>
            <w:pPr>
              <w:spacing w:line="240" w:lineRule="auto"/>
              <w:rPr>
                <w:rFonts w:ascii="宋体" w:hAnsi="宋体" w:cs="宋体"/>
                <w:kern w:val="0"/>
                <w:sz w:val="21"/>
                <w:szCs w:val="21"/>
              </w:rPr>
            </w:pPr>
            <w:r>
              <w:rPr>
                <w:rFonts w:hint="eastAsia" w:ascii="宋体" w:hAnsi="宋体" w:cs="宋体"/>
                <w:kern w:val="0"/>
                <w:sz w:val="21"/>
                <w:szCs w:val="21"/>
              </w:rPr>
              <w:t>3.根据患者姓名、手机号、医生、标签、癌种、分期、治疗期、治疗阶段查询患者。</w:t>
            </w:r>
          </w:p>
          <w:p>
            <w:pPr>
              <w:spacing w:line="240" w:lineRule="auto"/>
              <w:rPr>
                <w:rFonts w:ascii="宋体" w:hAnsi="宋体" w:cs="宋体"/>
                <w:sz w:val="21"/>
                <w:szCs w:val="21"/>
              </w:rPr>
            </w:pPr>
            <w:r>
              <w:rPr>
                <w:rFonts w:hint="eastAsia" w:ascii="宋体" w:hAnsi="宋体" w:cs="宋体"/>
                <w:sz w:val="21"/>
                <w:szCs w:val="21"/>
              </w:rPr>
              <w:t>4.</w:t>
            </w:r>
            <w:r>
              <w:rPr>
                <w:rFonts w:hint="eastAsia" w:ascii="宋体" w:hAnsi="宋体" w:cs="宋体"/>
                <w:kern w:val="0"/>
                <w:sz w:val="21"/>
                <w:szCs w:val="21"/>
              </w:rPr>
              <w:t>可以关注患者。微信扫描患者列表上的二维码可以注患者账号。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kern w:val="0"/>
                <w:sz w:val="21"/>
                <w:szCs w:val="21"/>
              </w:rPr>
              <w:t>11.2患者端</w:t>
            </w: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11.2.1</w:t>
            </w:r>
          </w:p>
          <w:p>
            <w:pPr>
              <w:spacing w:line="240" w:lineRule="auto"/>
              <w:rPr>
                <w:rFonts w:ascii="宋体" w:hAnsi="宋体" w:cs="宋体"/>
                <w:b/>
                <w:bCs/>
                <w:sz w:val="20"/>
                <w:szCs w:val="20"/>
              </w:rPr>
            </w:pPr>
            <w:r>
              <w:rPr>
                <w:rFonts w:hint="eastAsia" w:ascii="宋体" w:hAnsi="宋体" w:cs="宋体"/>
                <w:b/>
                <w:bCs/>
                <w:kern w:val="0"/>
                <w:sz w:val="20"/>
                <w:szCs w:val="20"/>
              </w:rPr>
              <w:t>新增患者</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填写患者信息创建患者。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11.2.2</w:t>
            </w:r>
          </w:p>
          <w:p>
            <w:pPr>
              <w:spacing w:line="240" w:lineRule="auto"/>
              <w:rPr>
                <w:rFonts w:ascii="宋体" w:hAnsi="宋体" w:cs="宋体"/>
                <w:b/>
                <w:bCs/>
                <w:sz w:val="20"/>
                <w:szCs w:val="20"/>
              </w:rPr>
            </w:pPr>
            <w:r>
              <w:rPr>
                <w:rFonts w:hint="eastAsia" w:ascii="宋体" w:hAnsi="宋体" w:cs="宋体"/>
                <w:b/>
                <w:bCs/>
                <w:kern w:val="0"/>
                <w:sz w:val="20"/>
                <w:szCs w:val="20"/>
              </w:rPr>
              <w:t>患者详情</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1.展示患者的信息，可拨打患者电话；</w:t>
            </w:r>
          </w:p>
          <w:p>
            <w:pPr>
              <w:spacing w:line="240" w:lineRule="auto"/>
              <w:rPr>
                <w:rFonts w:ascii="宋体" w:hAnsi="宋体" w:cs="宋体"/>
                <w:kern w:val="0"/>
                <w:sz w:val="21"/>
                <w:szCs w:val="21"/>
              </w:rPr>
            </w:pPr>
            <w:r>
              <w:rPr>
                <w:rFonts w:hint="eastAsia" w:ascii="宋体" w:hAnsi="宋体" w:cs="宋体"/>
                <w:kern w:val="0"/>
                <w:sz w:val="21"/>
                <w:szCs w:val="21"/>
              </w:rPr>
              <w:t>2.显示出入院、治疗史、血液报告、ECOG、NRS2002、PG-SGA、营养建议、康复日志、疗效评价、严重不良事件等功能按钮；</w:t>
            </w:r>
          </w:p>
          <w:p>
            <w:pPr>
              <w:spacing w:line="240" w:lineRule="auto"/>
              <w:rPr>
                <w:rFonts w:ascii="宋体" w:hAnsi="宋体" w:cs="宋体"/>
                <w:sz w:val="21"/>
                <w:szCs w:val="21"/>
              </w:rPr>
            </w:pPr>
            <w:r>
              <w:rPr>
                <w:rFonts w:hint="eastAsia" w:ascii="宋体" w:hAnsi="宋体" w:cs="宋体"/>
                <w:kern w:val="0"/>
                <w:sz w:val="21"/>
                <w:szCs w:val="21"/>
              </w:rPr>
              <w:t>3.展示出患者体重、去脂体重、握力、饮食评分及C反应蛋白、白蛋白等血液指标变化情况统计图。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11.2.3</w:t>
            </w:r>
          </w:p>
          <w:p>
            <w:pPr>
              <w:spacing w:line="240" w:lineRule="auto"/>
              <w:rPr>
                <w:rFonts w:ascii="宋体" w:hAnsi="宋体" w:cs="宋体"/>
                <w:b/>
                <w:bCs/>
                <w:sz w:val="20"/>
                <w:szCs w:val="20"/>
              </w:rPr>
            </w:pPr>
            <w:r>
              <w:rPr>
                <w:rFonts w:hint="eastAsia" w:ascii="宋体" w:hAnsi="宋体" w:cs="宋体"/>
                <w:b/>
                <w:bCs/>
                <w:kern w:val="0"/>
                <w:sz w:val="20"/>
                <w:szCs w:val="20"/>
              </w:rPr>
              <w:t>编辑患者</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可以修改患者基本信息、疾病信息、基础疾病、并发症、医生信息。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11.2.4</w:t>
            </w:r>
          </w:p>
          <w:p>
            <w:pPr>
              <w:spacing w:line="240" w:lineRule="auto"/>
              <w:rPr>
                <w:rFonts w:ascii="宋体" w:hAnsi="宋体" w:cs="宋体"/>
                <w:b/>
                <w:bCs/>
                <w:sz w:val="20"/>
                <w:szCs w:val="20"/>
              </w:rPr>
            </w:pPr>
            <w:r>
              <w:rPr>
                <w:rFonts w:hint="eastAsia" w:ascii="宋体" w:hAnsi="宋体" w:cs="宋体"/>
                <w:b/>
                <w:bCs/>
                <w:kern w:val="0"/>
                <w:sz w:val="20"/>
                <w:szCs w:val="20"/>
              </w:rPr>
              <w:t>标签</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1.根据患者情况显示不同标签，包括初始注册、随访、稳定、仅干预、暂不跟进、脱落、锁定、末期、已故等标签。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11.2.5</w:t>
            </w:r>
          </w:p>
          <w:p>
            <w:pPr>
              <w:spacing w:line="240" w:lineRule="auto"/>
              <w:rPr>
                <w:rFonts w:ascii="宋体" w:hAnsi="宋体" w:cs="宋体"/>
                <w:b/>
                <w:bCs/>
                <w:sz w:val="20"/>
                <w:szCs w:val="20"/>
              </w:rPr>
            </w:pPr>
            <w:r>
              <w:rPr>
                <w:rFonts w:hint="eastAsia" w:ascii="宋体" w:hAnsi="宋体" w:cs="宋体"/>
                <w:b/>
                <w:bCs/>
                <w:kern w:val="0"/>
                <w:sz w:val="20"/>
                <w:szCs w:val="20"/>
              </w:rPr>
              <w:t>开始随访</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1.包括患者基本情况、饮食详情、营养方案执行情况、营养摄入情况、用药情况、运动情况、睡眠情况、基本症状、全身症状、呼吸系统、消化系统、下次沟通提醒、随访小结、随访状态等。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11.2.6</w:t>
            </w:r>
          </w:p>
          <w:p>
            <w:pPr>
              <w:spacing w:line="240" w:lineRule="auto"/>
              <w:rPr>
                <w:rFonts w:ascii="宋体" w:hAnsi="宋体" w:cs="宋体"/>
                <w:b/>
                <w:bCs/>
                <w:sz w:val="20"/>
                <w:szCs w:val="20"/>
              </w:rPr>
            </w:pPr>
            <w:r>
              <w:rPr>
                <w:rFonts w:hint="eastAsia" w:ascii="宋体" w:hAnsi="宋体" w:cs="宋体"/>
                <w:b/>
                <w:bCs/>
                <w:kern w:val="0"/>
                <w:sz w:val="20"/>
                <w:szCs w:val="20"/>
              </w:rPr>
              <w:t>出入院</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1.可以查看、新增、修改和删除入院记录或出院记录；</w:t>
            </w:r>
          </w:p>
          <w:p>
            <w:pPr>
              <w:spacing w:line="240" w:lineRule="auto"/>
              <w:rPr>
                <w:rFonts w:ascii="宋体" w:hAnsi="宋体" w:cs="宋体"/>
                <w:sz w:val="21"/>
                <w:szCs w:val="21"/>
              </w:rPr>
            </w:pPr>
            <w:r>
              <w:rPr>
                <w:rFonts w:hint="eastAsia" w:ascii="宋体" w:hAnsi="宋体" w:cs="宋体"/>
                <w:kern w:val="0"/>
                <w:sz w:val="21"/>
                <w:szCs w:val="21"/>
              </w:rPr>
              <w:t>2.可查看修改和删除的操作记录。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11.2.7</w:t>
            </w:r>
          </w:p>
          <w:p>
            <w:pPr>
              <w:spacing w:line="240" w:lineRule="auto"/>
              <w:rPr>
                <w:rFonts w:ascii="宋体" w:hAnsi="宋体" w:cs="宋体"/>
                <w:b/>
                <w:bCs/>
                <w:sz w:val="20"/>
                <w:szCs w:val="20"/>
              </w:rPr>
            </w:pPr>
            <w:r>
              <w:rPr>
                <w:rFonts w:hint="eastAsia" w:ascii="宋体" w:hAnsi="宋体" w:cs="宋体"/>
                <w:b/>
                <w:bCs/>
                <w:kern w:val="0"/>
                <w:sz w:val="20"/>
                <w:szCs w:val="20"/>
              </w:rPr>
              <w:t>治疗史</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1.可以查看、新增、修改和删除患者治疗史信息；</w:t>
            </w:r>
          </w:p>
          <w:p>
            <w:pPr>
              <w:spacing w:line="240" w:lineRule="auto"/>
              <w:rPr>
                <w:rFonts w:ascii="宋体" w:hAnsi="宋体" w:cs="宋体"/>
                <w:kern w:val="0"/>
                <w:sz w:val="21"/>
                <w:szCs w:val="21"/>
              </w:rPr>
            </w:pPr>
            <w:r>
              <w:rPr>
                <w:rFonts w:hint="eastAsia" w:ascii="宋体" w:hAnsi="宋体" w:cs="宋体"/>
                <w:kern w:val="0"/>
                <w:sz w:val="21"/>
                <w:szCs w:val="21"/>
              </w:rPr>
              <w:t>2.可拍照自动识别文字。</w:t>
            </w:r>
          </w:p>
          <w:p>
            <w:pPr>
              <w:spacing w:line="240" w:lineRule="auto"/>
              <w:rPr>
                <w:rFonts w:ascii="宋体" w:hAnsi="宋体" w:cs="宋体"/>
                <w:sz w:val="21"/>
                <w:szCs w:val="21"/>
              </w:rPr>
            </w:pPr>
            <w:r>
              <w:rPr>
                <w:rFonts w:hint="eastAsia" w:ascii="宋体" w:hAnsi="宋体" w:cs="宋体"/>
                <w:sz w:val="21"/>
                <w:szCs w:val="21"/>
              </w:rPr>
              <w:t>3.</w:t>
            </w:r>
            <w:r>
              <w:rPr>
                <w:rFonts w:hint="eastAsia" w:ascii="宋体" w:hAnsi="宋体" w:cs="宋体"/>
                <w:kern w:val="0"/>
                <w:sz w:val="21"/>
                <w:szCs w:val="21"/>
              </w:rPr>
              <w:t>可查看修改和删除的操作记录。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11.2.8</w:t>
            </w:r>
          </w:p>
          <w:p>
            <w:pPr>
              <w:spacing w:line="240" w:lineRule="auto"/>
              <w:rPr>
                <w:rFonts w:ascii="宋体" w:hAnsi="宋体" w:cs="宋体"/>
                <w:b/>
                <w:bCs/>
                <w:sz w:val="20"/>
                <w:szCs w:val="20"/>
              </w:rPr>
            </w:pPr>
            <w:r>
              <w:rPr>
                <w:rFonts w:hint="eastAsia" w:ascii="宋体" w:hAnsi="宋体" w:cs="宋体"/>
                <w:b/>
                <w:bCs/>
                <w:kern w:val="0"/>
                <w:sz w:val="20"/>
                <w:szCs w:val="20"/>
              </w:rPr>
              <w:t>血液报告</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1.可以查看、新增、修改和删除血液报告记录；</w:t>
            </w:r>
          </w:p>
          <w:p>
            <w:pPr>
              <w:spacing w:line="240" w:lineRule="auto"/>
              <w:rPr>
                <w:rFonts w:ascii="宋体" w:hAnsi="宋体" w:cs="宋体"/>
                <w:kern w:val="0"/>
                <w:sz w:val="21"/>
                <w:szCs w:val="21"/>
              </w:rPr>
            </w:pPr>
            <w:r>
              <w:rPr>
                <w:rFonts w:hint="eastAsia" w:ascii="宋体" w:hAnsi="宋体" w:cs="宋体"/>
                <w:kern w:val="0"/>
                <w:sz w:val="21"/>
                <w:szCs w:val="21"/>
              </w:rPr>
              <w:t>2.可以拍照上传图片具有剪切和OCR识别自动填写血液指标。</w:t>
            </w:r>
          </w:p>
          <w:p>
            <w:pPr>
              <w:spacing w:line="240" w:lineRule="auto"/>
              <w:rPr>
                <w:rFonts w:ascii="宋体" w:hAnsi="宋体" w:cs="宋体"/>
                <w:sz w:val="21"/>
                <w:szCs w:val="21"/>
              </w:rPr>
            </w:pPr>
            <w:r>
              <w:rPr>
                <w:rFonts w:hint="eastAsia" w:ascii="宋体" w:hAnsi="宋体" w:cs="宋体"/>
                <w:kern w:val="0"/>
                <w:sz w:val="21"/>
                <w:szCs w:val="21"/>
              </w:rPr>
              <w:t>3.可查看修改和删除的操作记录。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11.2.9</w:t>
            </w:r>
          </w:p>
          <w:p>
            <w:pPr>
              <w:spacing w:line="240" w:lineRule="auto"/>
              <w:rPr>
                <w:rFonts w:ascii="宋体" w:hAnsi="宋体" w:cs="宋体"/>
                <w:b/>
                <w:bCs/>
                <w:sz w:val="20"/>
                <w:szCs w:val="20"/>
              </w:rPr>
            </w:pPr>
            <w:r>
              <w:rPr>
                <w:rFonts w:hint="eastAsia" w:ascii="宋体" w:hAnsi="宋体" w:cs="宋体"/>
                <w:b/>
                <w:bCs/>
                <w:sz w:val="20"/>
                <w:szCs w:val="20"/>
              </w:rPr>
              <w:t>筛评量表</w:t>
            </w:r>
          </w:p>
        </w:tc>
        <w:tc>
          <w:tcPr>
            <w:tcW w:w="3740" w:type="pct"/>
            <w:shd w:val="clear" w:color="auto" w:fill="auto"/>
            <w:tcMar>
              <w:top w:w="0" w:type="dxa"/>
              <w:left w:w="57" w:type="dxa"/>
              <w:bottom w:w="0" w:type="dxa"/>
              <w:right w:w="57" w:type="dxa"/>
            </w:tcMar>
          </w:tcPr>
          <w:p>
            <w:pPr>
              <w:spacing w:line="240" w:lineRule="auto"/>
              <w:rPr>
                <w:rFonts w:ascii="宋体" w:hAnsi="宋体" w:cs="宋体"/>
                <w:sz w:val="21"/>
                <w:szCs w:val="21"/>
              </w:rPr>
            </w:pPr>
            <w:r>
              <w:rPr>
                <w:rFonts w:hint="eastAsia" w:ascii="宋体" w:hAnsi="宋体" w:cs="宋体"/>
                <w:kern w:val="0"/>
                <w:sz w:val="21"/>
                <w:szCs w:val="21"/>
              </w:rPr>
              <w:t>提供ECOG、NRS2002、PG-SGA等筛查、评估数据。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11.2.10</w:t>
            </w:r>
          </w:p>
          <w:p>
            <w:pPr>
              <w:spacing w:line="240" w:lineRule="auto"/>
              <w:rPr>
                <w:rFonts w:ascii="宋体" w:hAnsi="宋体" w:cs="宋体"/>
                <w:b/>
                <w:bCs/>
                <w:sz w:val="20"/>
                <w:szCs w:val="20"/>
              </w:rPr>
            </w:pPr>
            <w:r>
              <w:rPr>
                <w:rFonts w:hint="eastAsia" w:ascii="宋体" w:hAnsi="宋体" w:cs="宋体"/>
                <w:b/>
                <w:bCs/>
                <w:kern w:val="0"/>
                <w:sz w:val="20"/>
                <w:szCs w:val="20"/>
              </w:rPr>
              <w:t>MDASI</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1.可以查看、新增、修改和删除MDASI记录；可查看修改和删除的操作记录。</w:t>
            </w:r>
          </w:p>
          <w:p>
            <w:pPr>
              <w:spacing w:line="240" w:lineRule="auto"/>
              <w:rPr>
                <w:rFonts w:ascii="宋体" w:hAnsi="宋体" w:cs="宋体"/>
                <w:sz w:val="21"/>
                <w:szCs w:val="21"/>
              </w:rPr>
            </w:pPr>
            <w:r>
              <w:rPr>
                <w:rFonts w:hint="eastAsia" w:ascii="宋体" w:hAnsi="宋体" w:cs="宋体"/>
                <w:kern w:val="0"/>
                <w:sz w:val="21"/>
                <w:szCs w:val="21"/>
              </w:rPr>
              <w:t>2.根据症状严重程度、症状干扰生活程度评分。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11.2.11</w:t>
            </w:r>
          </w:p>
          <w:p>
            <w:pPr>
              <w:spacing w:line="240" w:lineRule="auto"/>
              <w:rPr>
                <w:rFonts w:ascii="宋体" w:hAnsi="宋体" w:cs="宋体"/>
                <w:b/>
                <w:bCs/>
                <w:sz w:val="20"/>
                <w:szCs w:val="20"/>
              </w:rPr>
            </w:pPr>
            <w:r>
              <w:rPr>
                <w:rFonts w:hint="eastAsia" w:ascii="宋体" w:hAnsi="宋体" w:cs="宋体"/>
                <w:b/>
                <w:bCs/>
                <w:kern w:val="0"/>
                <w:sz w:val="20"/>
                <w:szCs w:val="20"/>
              </w:rPr>
              <w:t>留言</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可以与医生和营养师沟通留言。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11.2.12</w:t>
            </w:r>
          </w:p>
          <w:p>
            <w:pPr>
              <w:spacing w:line="240" w:lineRule="auto"/>
              <w:rPr>
                <w:rFonts w:ascii="宋体" w:hAnsi="宋体" w:cs="宋体"/>
                <w:b/>
                <w:bCs/>
                <w:sz w:val="20"/>
                <w:szCs w:val="20"/>
              </w:rPr>
            </w:pPr>
            <w:r>
              <w:rPr>
                <w:rFonts w:hint="eastAsia" w:ascii="宋体" w:hAnsi="宋体" w:cs="宋体"/>
                <w:b/>
                <w:bCs/>
                <w:kern w:val="0"/>
                <w:sz w:val="20"/>
                <w:szCs w:val="20"/>
              </w:rPr>
              <w:t>指标详情</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1.可以查看患者各项指标及异常指标；</w:t>
            </w:r>
          </w:p>
          <w:p>
            <w:pPr>
              <w:spacing w:line="240" w:lineRule="auto"/>
              <w:rPr>
                <w:rFonts w:ascii="宋体" w:hAnsi="宋体" w:cs="宋体"/>
                <w:sz w:val="21"/>
                <w:szCs w:val="21"/>
              </w:rPr>
            </w:pPr>
            <w:r>
              <w:rPr>
                <w:rFonts w:hint="eastAsia" w:ascii="宋体" w:hAnsi="宋体" w:cs="宋体"/>
                <w:kern w:val="0"/>
                <w:sz w:val="21"/>
                <w:szCs w:val="21"/>
              </w:rPr>
              <w:t>2.可以查看各项指标说明介绍。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restar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kern w:val="0"/>
                <w:sz w:val="21"/>
                <w:szCs w:val="21"/>
              </w:rPr>
              <w:t>11.3后台系统管理</w:t>
            </w: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11.3.1</w:t>
            </w:r>
          </w:p>
          <w:p>
            <w:pPr>
              <w:spacing w:line="240" w:lineRule="auto"/>
              <w:rPr>
                <w:rFonts w:ascii="宋体" w:hAnsi="宋体" w:cs="宋体"/>
                <w:b/>
                <w:bCs/>
                <w:sz w:val="20"/>
                <w:szCs w:val="20"/>
              </w:rPr>
            </w:pPr>
            <w:r>
              <w:rPr>
                <w:rFonts w:hint="eastAsia" w:ascii="宋体" w:hAnsi="宋体" w:cs="宋体"/>
                <w:b/>
                <w:bCs/>
                <w:kern w:val="0"/>
                <w:sz w:val="20"/>
                <w:szCs w:val="20"/>
              </w:rPr>
              <w:t>医院管理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根据省份、医院名称、级别、分类查询医院；</w:t>
            </w:r>
          </w:p>
          <w:p>
            <w:pPr>
              <w:spacing w:line="240" w:lineRule="auto"/>
              <w:rPr>
                <w:rFonts w:ascii="宋体" w:hAnsi="宋体" w:cs="宋体"/>
                <w:sz w:val="21"/>
                <w:szCs w:val="21"/>
              </w:rPr>
            </w:pPr>
            <w:r>
              <w:rPr>
                <w:rFonts w:hint="eastAsia" w:ascii="宋体" w:hAnsi="宋体" w:cs="宋体"/>
                <w:kern w:val="0"/>
                <w:sz w:val="21"/>
                <w:szCs w:val="21"/>
              </w:rPr>
              <w:t>可以查看、新增、修改、删除医院信息。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11.3.2</w:t>
            </w:r>
          </w:p>
          <w:p>
            <w:pPr>
              <w:spacing w:line="240" w:lineRule="auto"/>
              <w:rPr>
                <w:rFonts w:ascii="宋体" w:hAnsi="宋体" w:cs="宋体"/>
                <w:b/>
                <w:bCs/>
                <w:sz w:val="20"/>
                <w:szCs w:val="20"/>
              </w:rPr>
            </w:pPr>
            <w:r>
              <w:rPr>
                <w:rFonts w:hint="eastAsia" w:ascii="宋体" w:hAnsi="宋体" w:cs="宋体"/>
                <w:b/>
                <w:bCs/>
                <w:kern w:val="0"/>
                <w:sz w:val="20"/>
                <w:szCs w:val="20"/>
              </w:rPr>
              <w:t>科室管理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根据医院名称搜索；</w:t>
            </w:r>
          </w:p>
          <w:p>
            <w:pPr>
              <w:spacing w:line="240" w:lineRule="auto"/>
              <w:rPr>
                <w:rFonts w:ascii="宋体" w:hAnsi="宋体" w:cs="宋体"/>
                <w:sz w:val="21"/>
                <w:szCs w:val="21"/>
              </w:rPr>
            </w:pPr>
            <w:r>
              <w:rPr>
                <w:rFonts w:hint="eastAsia" w:ascii="宋体" w:hAnsi="宋体" w:cs="宋体"/>
                <w:kern w:val="0"/>
                <w:sz w:val="21"/>
                <w:szCs w:val="21"/>
              </w:rPr>
              <w:t>可以查看、新增、修改、删除科室信息。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11.3.3</w:t>
            </w:r>
          </w:p>
          <w:p>
            <w:pPr>
              <w:spacing w:line="240" w:lineRule="auto"/>
              <w:rPr>
                <w:rFonts w:ascii="宋体" w:hAnsi="宋体" w:cs="宋体"/>
                <w:b/>
                <w:bCs/>
                <w:sz w:val="20"/>
                <w:szCs w:val="20"/>
              </w:rPr>
            </w:pPr>
            <w:r>
              <w:rPr>
                <w:rFonts w:hint="eastAsia" w:ascii="宋体" w:hAnsi="宋体" w:cs="宋体"/>
                <w:b/>
                <w:bCs/>
                <w:kern w:val="0"/>
                <w:sz w:val="20"/>
                <w:szCs w:val="20"/>
              </w:rPr>
              <w:t>医生管理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根据医院名称、科室、省份、状态、编码、医生姓名、手机号查询医生；</w:t>
            </w:r>
          </w:p>
          <w:p>
            <w:pPr>
              <w:spacing w:line="240" w:lineRule="auto"/>
              <w:rPr>
                <w:rFonts w:ascii="宋体" w:hAnsi="宋体" w:cs="宋体"/>
                <w:kern w:val="0"/>
                <w:sz w:val="21"/>
                <w:szCs w:val="21"/>
              </w:rPr>
            </w:pPr>
            <w:r>
              <w:rPr>
                <w:rFonts w:hint="eastAsia" w:ascii="宋体" w:hAnsi="宋体" w:cs="宋体"/>
                <w:kern w:val="0"/>
                <w:sz w:val="21"/>
                <w:szCs w:val="21"/>
              </w:rPr>
              <w:t>可以查看、新增、修改、删除医生信息；</w:t>
            </w:r>
          </w:p>
          <w:p>
            <w:pPr>
              <w:spacing w:line="240" w:lineRule="auto"/>
              <w:rPr>
                <w:rFonts w:ascii="宋体" w:hAnsi="宋体" w:cs="宋体"/>
                <w:sz w:val="21"/>
                <w:szCs w:val="21"/>
              </w:rPr>
            </w:pPr>
            <w:r>
              <w:rPr>
                <w:rFonts w:hint="eastAsia" w:ascii="宋体" w:hAnsi="宋体" w:cs="宋体"/>
                <w:kern w:val="0"/>
                <w:sz w:val="21"/>
                <w:szCs w:val="21"/>
              </w:rPr>
              <w:t>可以给医生配置上下级关系。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11.3.4</w:t>
            </w:r>
          </w:p>
          <w:p>
            <w:pPr>
              <w:spacing w:line="240" w:lineRule="auto"/>
              <w:rPr>
                <w:rFonts w:ascii="宋体" w:hAnsi="宋体" w:cs="宋体"/>
                <w:b/>
                <w:bCs/>
                <w:sz w:val="20"/>
                <w:szCs w:val="20"/>
              </w:rPr>
            </w:pPr>
            <w:r>
              <w:rPr>
                <w:rFonts w:hint="eastAsia" w:ascii="宋体" w:hAnsi="宋体" w:cs="宋体"/>
                <w:b/>
                <w:bCs/>
                <w:kern w:val="0"/>
                <w:sz w:val="20"/>
                <w:szCs w:val="20"/>
              </w:rPr>
              <w:t>任务管理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1.根据开始日期和结算日期查询；</w:t>
            </w:r>
          </w:p>
          <w:p>
            <w:pPr>
              <w:spacing w:line="240" w:lineRule="auto"/>
              <w:rPr>
                <w:rFonts w:ascii="宋体" w:hAnsi="宋体" w:cs="宋体"/>
                <w:sz w:val="21"/>
                <w:szCs w:val="21"/>
              </w:rPr>
            </w:pPr>
            <w:r>
              <w:rPr>
                <w:rFonts w:hint="eastAsia" w:ascii="宋体" w:hAnsi="宋体" w:cs="宋体"/>
                <w:kern w:val="0"/>
                <w:sz w:val="21"/>
                <w:szCs w:val="21"/>
              </w:rPr>
              <w:t>2.可以查看任务详情。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11.3.5</w:t>
            </w:r>
          </w:p>
          <w:p>
            <w:pPr>
              <w:spacing w:line="240" w:lineRule="auto"/>
              <w:rPr>
                <w:rFonts w:ascii="宋体" w:hAnsi="宋体" w:cs="宋体"/>
                <w:b/>
                <w:bCs/>
                <w:sz w:val="20"/>
                <w:szCs w:val="20"/>
              </w:rPr>
            </w:pPr>
            <w:r>
              <w:rPr>
                <w:rFonts w:hint="eastAsia" w:ascii="宋体" w:hAnsi="宋体" w:cs="宋体"/>
                <w:b/>
                <w:bCs/>
                <w:kern w:val="0"/>
                <w:sz w:val="20"/>
                <w:szCs w:val="20"/>
              </w:rPr>
              <w:t>患者管理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rPr>
              <w:t>1.根据省份、医院、医生、营养师、疾病、状态、编码、姓名、手机号、日志开始结束日期查询患者；</w:t>
            </w:r>
          </w:p>
          <w:p>
            <w:pPr>
              <w:spacing w:line="240" w:lineRule="auto"/>
              <w:rPr>
                <w:rFonts w:ascii="宋体" w:hAnsi="宋体" w:cs="宋体"/>
                <w:kern w:val="0"/>
                <w:sz w:val="21"/>
                <w:szCs w:val="21"/>
              </w:rPr>
            </w:pPr>
            <w:r>
              <w:rPr>
                <w:rFonts w:hint="eastAsia" w:ascii="宋体" w:hAnsi="宋体" w:cs="宋体"/>
                <w:kern w:val="0"/>
                <w:sz w:val="21"/>
                <w:szCs w:val="21"/>
                <w:shd w:val="clear" w:color="auto" w:fill="FFFFFF"/>
              </w:rPr>
              <w:t>2.</w:t>
            </w:r>
            <w:r>
              <w:rPr>
                <w:rFonts w:hint="eastAsia" w:ascii="宋体" w:hAnsi="宋体" w:cs="宋体"/>
                <w:kern w:val="0"/>
                <w:sz w:val="21"/>
                <w:szCs w:val="21"/>
              </w:rPr>
              <w:t>可以查看患者详情，修改、删除患者信息，包括患者个人信息（民族、婚姻、医保、受教育的程度等）。</w:t>
            </w:r>
          </w:p>
          <w:p>
            <w:pPr>
              <w:spacing w:line="240" w:lineRule="auto"/>
              <w:rPr>
                <w:rFonts w:ascii="宋体" w:hAnsi="宋体" w:cs="宋体"/>
                <w:sz w:val="21"/>
                <w:szCs w:val="21"/>
              </w:rPr>
            </w:pPr>
            <w:r>
              <w:rPr>
                <w:rFonts w:hint="eastAsia" w:ascii="宋体" w:hAnsi="宋体" w:cs="宋体"/>
                <w:kern w:val="0"/>
                <w:sz w:val="21"/>
                <w:szCs w:val="21"/>
                <w:shd w:val="clear" w:color="auto" w:fill="FFFFFF"/>
              </w:rPr>
              <w:t>3.</w:t>
            </w:r>
            <w:r>
              <w:rPr>
                <w:rFonts w:hint="eastAsia" w:ascii="宋体" w:hAnsi="宋体" w:cs="宋体"/>
                <w:kern w:val="0"/>
                <w:sz w:val="21"/>
                <w:szCs w:val="21"/>
              </w:rPr>
              <w:t>可管理患者账号密码及页面设置。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11.3.6</w:t>
            </w:r>
          </w:p>
          <w:p>
            <w:pPr>
              <w:spacing w:line="240" w:lineRule="auto"/>
              <w:rPr>
                <w:rFonts w:ascii="宋体" w:hAnsi="宋体" w:cs="宋体"/>
                <w:b/>
                <w:bCs/>
                <w:sz w:val="20"/>
                <w:szCs w:val="20"/>
              </w:rPr>
            </w:pPr>
            <w:r>
              <w:rPr>
                <w:rFonts w:hint="eastAsia" w:ascii="宋体" w:hAnsi="宋体" w:cs="宋体"/>
                <w:b/>
                <w:bCs/>
                <w:kern w:val="0"/>
                <w:sz w:val="20"/>
                <w:szCs w:val="20"/>
              </w:rPr>
              <w:t>食谱管理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kern w:val="0"/>
                <w:sz w:val="21"/>
                <w:szCs w:val="21"/>
              </w:rPr>
            </w:pPr>
            <w:r>
              <w:rPr>
                <w:rFonts w:hint="eastAsia" w:ascii="宋体" w:hAnsi="宋体" w:cs="宋体"/>
                <w:kern w:val="0"/>
                <w:sz w:val="21"/>
                <w:szCs w:val="21"/>
                <w:shd w:val="clear" w:color="auto" w:fill="FFFFFF"/>
              </w:rPr>
              <w:t>1.</w:t>
            </w:r>
            <w:r>
              <w:rPr>
                <w:rFonts w:hint="eastAsia" w:ascii="宋体" w:hAnsi="宋体" w:cs="宋体"/>
                <w:kern w:val="0"/>
                <w:sz w:val="21"/>
                <w:szCs w:val="21"/>
              </w:rPr>
              <w:t>分页展示各种食谱；</w:t>
            </w:r>
          </w:p>
          <w:p>
            <w:pPr>
              <w:spacing w:line="240" w:lineRule="auto"/>
              <w:rPr>
                <w:rFonts w:ascii="宋体" w:hAnsi="宋体" w:cs="宋体"/>
                <w:sz w:val="21"/>
                <w:szCs w:val="21"/>
              </w:rPr>
            </w:pPr>
            <w:r>
              <w:rPr>
                <w:rFonts w:hint="eastAsia" w:ascii="宋体" w:hAnsi="宋体" w:cs="宋体"/>
                <w:kern w:val="0"/>
                <w:sz w:val="21"/>
                <w:szCs w:val="21"/>
              </w:rPr>
              <w:t>2.可以新增、修改、删除食谱信息。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ascii="宋体" w:hAnsi="宋体" w:cs="宋体"/>
                <w:b/>
                <w:bCs/>
                <w:kern w:val="0"/>
                <w:sz w:val="20"/>
                <w:szCs w:val="20"/>
              </w:rPr>
            </w:pPr>
            <w:r>
              <w:rPr>
                <w:rFonts w:hint="eastAsia" w:ascii="宋体" w:hAnsi="宋体" w:cs="宋体"/>
                <w:b/>
                <w:bCs/>
                <w:kern w:val="0"/>
                <w:sz w:val="20"/>
                <w:szCs w:val="20"/>
              </w:rPr>
              <w:t>11.3.7</w:t>
            </w:r>
          </w:p>
          <w:p>
            <w:pPr>
              <w:spacing w:line="240" w:lineRule="auto"/>
              <w:rPr>
                <w:rFonts w:ascii="宋体" w:hAnsi="宋体" w:cs="宋体"/>
                <w:b/>
                <w:bCs/>
                <w:sz w:val="20"/>
                <w:szCs w:val="20"/>
              </w:rPr>
            </w:pPr>
            <w:r>
              <w:rPr>
                <w:rFonts w:hint="eastAsia" w:ascii="宋体" w:hAnsi="宋体" w:cs="宋体"/>
                <w:b/>
                <w:bCs/>
                <w:kern w:val="0"/>
                <w:sz w:val="20"/>
                <w:szCs w:val="20"/>
              </w:rPr>
              <w:t>知识库管理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可以新增、查看、修改、删除营养知识。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hint="eastAsia" w:ascii="宋体" w:hAnsi="宋体" w:cs="宋体"/>
                <w:b/>
                <w:bCs/>
                <w:kern w:val="0"/>
                <w:sz w:val="20"/>
                <w:szCs w:val="20"/>
              </w:rPr>
            </w:pPr>
            <w:r>
              <w:rPr>
                <w:rFonts w:hint="eastAsia" w:ascii="宋体" w:hAnsi="宋体" w:cs="宋体"/>
                <w:b/>
                <w:bCs/>
                <w:kern w:val="0"/>
                <w:sz w:val="20"/>
                <w:szCs w:val="20"/>
              </w:rPr>
              <w:t>11.3.8</w:t>
            </w:r>
          </w:p>
          <w:p>
            <w:pPr>
              <w:spacing w:line="240" w:lineRule="auto"/>
              <w:rPr>
                <w:rFonts w:hint="eastAsia" w:ascii="宋体" w:hAnsi="宋体" w:cs="宋体"/>
                <w:b/>
                <w:bCs/>
                <w:kern w:val="0"/>
                <w:sz w:val="20"/>
                <w:szCs w:val="20"/>
              </w:rPr>
            </w:pPr>
            <w:r>
              <w:rPr>
                <w:rFonts w:hint="eastAsia" w:ascii="宋体" w:hAnsi="宋体" w:cs="宋体"/>
                <w:b/>
                <w:bCs/>
                <w:kern w:val="0"/>
                <w:sz w:val="20"/>
                <w:szCs w:val="20"/>
              </w:rPr>
              <w:t>QA管理</w:t>
            </w:r>
          </w:p>
        </w:tc>
        <w:tc>
          <w:tcPr>
            <w:tcW w:w="3740" w:type="pct"/>
            <w:shd w:val="clear" w:color="auto" w:fill="auto"/>
            <w:tcMar>
              <w:top w:w="0" w:type="dxa"/>
              <w:left w:w="57" w:type="dxa"/>
              <w:bottom w:w="0" w:type="dxa"/>
              <w:right w:w="57" w:type="dxa"/>
            </w:tcMar>
            <w:vAlign w:val="center"/>
          </w:tcPr>
          <w:p>
            <w:pPr>
              <w:spacing w:line="240" w:lineRule="auto"/>
              <w:rPr>
                <w:rFonts w:ascii="宋体" w:hAnsi="宋体" w:cs="宋体"/>
                <w:sz w:val="21"/>
                <w:szCs w:val="21"/>
              </w:rPr>
            </w:pPr>
            <w:r>
              <w:rPr>
                <w:rFonts w:hint="eastAsia" w:ascii="宋体" w:hAnsi="宋体" w:cs="宋体"/>
                <w:kern w:val="0"/>
                <w:sz w:val="21"/>
                <w:szCs w:val="21"/>
              </w:rPr>
              <w:t>可以新增、查看、修改、删除问答信息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9"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78"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290" w:type="pct"/>
            <w:vMerge w:val="continue"/>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p>
        </w:tc>
        <w:tc>
          <w:tcPr>
            <w:tcW w:w="481" w:type="pct"/>
            <w:shd w:val="clear" w:color="auto" w:fill="auto"/>
            <w:tcMar>
              <w:top w:w="0" w:type="dxa"/>
              <w:left w:w="57" w:type="dxa"/>
              <w:bottom w:w="0" w:type="dxa"/>
              <w:right w:w="57" w:type="dxa"/>
            </w:tcMar>
            <w:vAlign w:val="center"/>
          </w:tcPr>
          <w:p>
            <w:pPr>
              <w:spacing w:line="240" w:lineRule="auto"/>
              <w:rPr>
                <w:rFonts w:hint="eastAsia" w:ascii="宋体" w:hAnsi="宋体" w:cs="宋体"/>
                <w:b/>
                <w:bCs/>
                <w:kern w:val="0"/>
                <w:sz w:val="20"/>
                <w:szCs w:val="20"/>
              </w:rPr>
            </w:pPr>
            <w:r>
              <w:rPr>
                <w:rFonts w:hint="eastAsia" w:ascii="宋体" w:hAnsi="宋体" w:cs="宋体"/>
                <w:b/>
                <w:bCs/>
                <w:kern w:val="0"/>
                <w:sz w:val="20"/>
                <w:szCs w:val="20"/>
              </w:rPr>
              <w:t>11.3.9</w:t>
            </w:r>
          </w:p>
          <w:p>
            <w:pPr>
              <w:spacing w:line="240" w:lineRule="auto"/>
              <w:rPr>
                <w:rFonts w:hint="eastAsia" w:ascii="宋体" w:hAnsi="宋体" w:cs="宋体"/>
                <w:b/>
                <w:bCs/>
                <w:kern w:val="0"/>
                <w:sz w:val="20"/>
                <w:szCs w:val="20"/>
              </w:rPr>
            </w:pPr>
            <w:r>
              <w:rPr>
                <w:rFonts w:hint="eastAsia" w:ascii="宋体" w:hAnsi="宋体" w:cs="宋体"/>
                <w:b/>
                <w:bCs/>
                <w:kern w:val="0"/>
                <w:sz w:val="20"/>
                <w:szCs w:val="20"/>
              </w:rPr>
              <w:t>痕迹管理</w:t>
            </w:r>
          </w:p>
        </w:tc>
        <w:tc>
          <w:tcPr>
            <w:tcW w:w="3740" w:type="pct"/>
            <w:shd w:val="clear" w:color="auto" w:fill="auto"/>
            <w:tcMar>
              <w:top w:w="0" w:type="dxa"/>
              <w:left w:w="57" w:type="dxa"/>
              <w:bottom w:w="0" w:type="dxa"/>
              <w:right w:w="57" w:type="dxa"/>
            </w:tcMar>
            <w:vAlign w:val="center"/>
          </w:tcPr>
          <w:p>
            <w:pPr>
              <w:spacing w:line="240" w:lineRule="auto"/>
              <w:rPr>
                <w:rFonts w:hint="eastAsia" w:ascii="宋体" w:hAnsi="宋体" w:cs="宋体"/>
                <w:kern w:val="0"/>
                <w:sz w:val="21"/>
                <w:szCs w:val="21"/>
              </w:rPr>
            </w:pPr>
            <w:r>
              <w:rPr>
                <w:rFonts w:hint="eastAsia" w:ascii="宋体" w:hAnsi="宋体" w:cs="宋体"/>
                <w:kern w:val="0"/>
                <w:sz w:val="21"/>
                <w:szCs w:val="21"/>
              </w:rPr>
              <w:t>对用户的操作痕迹进行管理。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09" w:type="pct"/>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sz w:val="21"/>
                <w:szCs w:val="21"/>
              </w:rPr>
              <w:t>12</w:t>
            </w:r>
          </w:p>
        </w:tc>
        <w:tc>
          <w:tcPr>
            <w:tcW w:w="568" w:type="pct"/>
            <w:gridSpan w:val="2"/>
            <w:shd w:val="clear" w:color="auto" w:fill="auto"/>
            <w:tcMar>
              <w:top w:w="0" w:type="dxa"/>
              <w:left w:w="57" w:type="dxa"/>
              <w:bottom w:w="0" w:type="dxa"/>
              <w:right w:w="57" w:type="dxa"/>
            </w:tcMar>
            <w:vAlign w:val="center"/>
          </w:tcPr>
          <w:p>
            <w:pPr>
              <w:spacing w:line="240" w:lineRule="auto"/>
              <w:jc w:val="center"/>
              <w:rPr>
                <w:rFonts w:ascii="宋体" w:hAnsi="宋体" w:cs="宋体"/>
                <w:sz w:val="21"/>
                <w:szCs w:val="21"/>
              </w:rPr>
            </w:pPr>
            <w:r>
              <w:rPr>
                <w:rFonts w:hint="eastAsia" w:ascii="宋体" w:hAnsi="宋体" w:cs="宋体"/>
                <w:b/>
                <w:bCs/>
                <w:sz w:val="21"/>
                <w:szCs w:val="21"/>
              </w:rPr>
              <w:t>★质控统计</w:t>
            </w:r>
          </w:p>
        </w:tc>
        <w:tc>
          <w:tcPr>
            <w:tcW w:w="4221" w:type="pct"/>
            <w:gridSpan w:val="2"/>
            <w:shd w:val="clear" w:color="auto" w:fill="auto"/>
            <w:tcMar>
              <w:top w:w="0" w:type="dxa"/>
              <w:left w:w="57" w:type="dxa"/>
              <w:bottom w:w="0" w:type="dxa"/>
              <w:right w:w="57" w:type="dxa"/>
            </w:tcMar>
            <w:vAlign w:val="center"/>
          </w:tcPr>
          <w:p>
            <w:pPr>
              <w:spacing w:line="240" w:lineRule="auto"/>
              <w:rPr>
                <w:rFonts w:hint="eastAsia" w:ascii="宋体" w:hAnsi="宋体" w:cs="宋体"/>
                <w:kern w:val="0"/>
                <w:sz w:val="21"/>
                <w:szCs w:val="21"/>
              </w:rPr>
            </w:pPr>
            <w:r>
              <w:rPr>
                <w:rFonts w:hint="eastAsia" w:ascii="宋体" w:hAnsi="宋体" w:cs="宋体"/>
                <w:kern w:val="0"/>
                <w:sz w:val="21"/>
                <w:szCs w:val="21"/>
              </w:rPr>
              <w:t>1.按照安徽省三级医院评审标准 2022版和国家临床营养质控要求，信息化支撑的临床营养质量控制指标，共13项，系统支持13项质控指标的统计。</w:t>
            </w:r>
          </w:p>
          <w:p>
            <w:pPr>
              <w:spacing w:line="240" w:lineRule="auto"/>
              <w:rPr>
                <w:rFonts w:hint="eastAsia" w:ascii="宋体" w:hAnsi="宋体" w:cs="宋体"/>
                <w:kern w:val="0"/>
                <w:sz w:val="21"/>
                <w:szCs w:val="21"/>
              </w:rPr>
            </w:pPr>
            <w:r>
              <w:rPr>
                <w:rFonts w:hint="eastAsia" w:ascii="宋体" w:hAnsi="宋体" w:cs="宋体"/>
                <w:kern w:val="0"/>
                <w:sz w:val="21"/>
                <w:szCs w:val="21"/>
              </w:rPr>
              <w:t>2.质控统计指标包括：住院患者营养筛查率；营养风险患者营养治疗率；糖尿病患者营养评估率；糖尿病患者营养治疗率；糖尿病患者营养治疗后胰岛素减少率；肠外营养治疗不良事件发生率；肠内营养治疗不良事件发生率；膳食营养治疗不良事件发生率；病案首页中营养诊断例数；出院患者中营养评估例数；出院患者中膳食评估数；出院患者中人体测量评估数；出院患者中营养生化检验评估数。</w:t>
            </w:r>
          </w:p>
          <w:p>
            <w:pPr>
              <w:spacing w:line="240" w:lineRule="auto"/>
              <w:rPr>
                <w:rFonts w:hint="eastAsia" w:ascii="宋体" w:hAnsi="宋体" w:cs="宋体"/>
                <w:kern w:val="0"/>
                <w:sz w:val="21"/>
                <w:szCs w:val="21"/>
              </w:rPr>
            </w:pPr>
            <w:r>
              <w:rPr>
                <w:rFonts w:hint="eastAsia" w:ascii="宋体" w:hAnsi="宋体" w:cs="宋体"/>
                <w:kern w:val="0"/>
                <w:sz w:val="21"/>
                <w:szCs w:val="21"/>
              </w:rPr>
              <w:t>3.质控统计数据抓取率达到 95%。</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bCs/>
          <w:lang w:val="en-US" w:eastAsia="zh-CN"/>
        </w:rPr>
      </w:pPr>
      <w:r>
        <w:rPr>
          <w:rFonts w:hint="eastAsia" w:cs="Times New Roman"/>
          <w:b/>
          <w:bCs/>
          <w:lang w:val="en-US" w:eastAsia="zh-CN"/>
        </w:rPr>
        <w:t>六、</w:t>
      </w:r>
      <w:r>
        <w:rPr>
          <w:rFonts w:hint="eastAsia" w:ascii="Times New Roman" w:hAnsi="Times New Roman" w:eastAsia="宋体" w:cs="Times New Roman"/>
          <w:b/>
          <w:bCs/>
          <w:lang w:val="en-US" w:eastAsia="zh-CN"/>
        </w:rPr>
        <w:t>硬件配置要求</w:t>
      </w:r>
    </w:p>
    <w:tbl>
      <w:tblPr>
        <w:tblStyle w:val="28"/>
        <w:tblW w:w="516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1"/>
        <w:gridCol w:w="6746"/>
        <w:gridCol w:w="704"/>
        <w:gridCol w:w="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设备名称</w:t>
            </w:r>
          </w:p>
        </w:tc>
        <w:tc>
          <w:tcPr>
            <w:tcW w:w="3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参数要求</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移动诊疗终端</w:t>
            </w:r>
          </w:p>
        </w:tc>
        <w:tc>
          <w:tcPr>
            <w:tcW w:w="3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CPU核心数：≥6核；</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运行内存：≥6G；</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内存容量：≥128G ；</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分辨率：≥2560*1600；</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屏幕尺寸：≥11英寸；</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网络连接：支持IPV6、支持WiFi/WLAN，支持三网5G SIM卡；</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7.系统：支持android；</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8.其他要求：支持5G插卡方式，支持护眼模式，带原厂充电线。</w:t>
            </w:r>
          </w:p>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default"/>
                <w:highlight w:val="none"/>
                <w:lang w:val="en-US"/>
              </w:rPr>
            </w:pPr>
            <w:r>
              <w:rPr>
                <w:rFonts w:hint="eastAsia" w:ascii="宋体" w:hAnsi="宋体" w:eastAsia="宋体" w:cs="宋体"/>
                <w:i w:val="0"/>
                <w:iCs w:val="0"/>
                <w:color w:val="000000"/>
                <w:kern w:val="0"/>
                <w:sz w:val="21"/>
                <w:szCs w:val="21"/>
                <w:highlight w:val="none"/>
                <w:u w:val="none"/>
                <w:lang w:val="en-US" w:eastAsia="zh-CN" w:bidi="ar"/>
              </w:rPr>
              <w:t>9.配备要求：每台终端必须配备一张5G物联网(以用户单位集体名义开户，能连入用户单位内网)，包含至验收后2年的流量(每月</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30G)</w:t>
            </w:r>
            <w:r>
              <w:rPr>
                <w:rFonts w:hint="eastAsia" w:cs="宋体"/>
                <w:i w:val="0"/>
                <w:iCs w:val="0"/>
                <w:color w:val="000000"/>
                <w:kern w:val="0"/>
                <w:sz w:val="21"/>
                <w:szCs w:val="21"/>
                <w:highlight w:val="none"/>
                <w:u w:val="none"/>
                <w:lang w:val="en-US" w:eastAsia="zh-CN" w:bidi="ar"/>
              </w:rPr>
              <w:t>月</w:t>
            </w:r>
            <w:r>
              <w:rPr>
                <w:rFonts w:hint="eastAsia" w:ascii="宋体" w:hAnsi="宋体" w:eastAsia="宋体" w:cs="宋体"/>
                <w:i w:val="0"/>
                <w:iCs w:val="0"/>
                <w:color w:val="000000"/>
                <w:kern w:val="0"/>
                <w:sz w:val="21"/>
                <w:szCs w:val="21"/>
                <w:highlight w:val="none"/>
                <w:u w:val="none"/>
                <w:lang w:val="en-US" w:eastAsia="zh-CN" w:bidi="ar"/>
              </w:rPr>
              <w:t>租</w:t>
            </w:r>
            <w:r>
              <w:rPr>
                <w:rFonts w:hint="eastAsia" w:cs="宋体"/>
                <w:i w:val="0"/>
                <w:iCs w:val="0"/>
                <w:color w:val="000000"/>
                <w:kern w:val="0"/>
                <w:sz w:val="21"/>
                <w:szCs w:val="21"/>
                <w:highlight w:val="none"/>
                <w:u w:val="none"/>
                <w:lang w:val="en-US" w:eastAsia="zh-CN" w:bidi="ar"/>
              </w:rPr>
              <w:t>费用。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auto"/>
              <w:ind w:firstLine="0" w:firstLineChars="0"/>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备注：</w:t>
            </w:r>
            <w:r>
              <w:rPr>
                <w:rFonts w:hint="eastAsia" w:ascii="宋体" w:hAnsi="宋体" w:eastAsia="宋体" w:cs="宋体"/>
                <w:b/>
                <w:bCs/>
                <w:color w:val="auto"/>
                <w:szCs w:val="21"/>
                <w:highlight w:val="none"/>
                <w:lang w:val="en-US" w:eastAsia="zh-CN"/>
              </w:rPr>
              <w:t>以上参数</w:t>
            </w:r>
            <w:r>
              <w:rPr>
                <w:rFonts w:hint="eastAsia" w:ascii="宋体" w:hAnsi="宋体" w:cs="宋体"/>
                <w:b/>
                <w:bCs/>
                <w:color w:val="auto"/>
                <w:szCs w:val="21"/>
                <w:highlight w:val="none"/>
                <w:lang w:val="en-US" w:eastAsia="zh-CN"/>
              </w:rPr>
              <w:t>要求</w:t>
            </w:r>
            <w:r>
              <w:rPr>
                <w:rFonts w:hint="eastAsia" w:ascii="宋体" w:hAnsi="宋体" w:eastAsia="宋体" w:cs="宋体"/>
                <w:b/>
                <w:bCs/>
                <w:color w:val="auto"/>
                <w:szCs w:val="21"/>
                <w:highlight w:val="none"/>
                <w:lang w:val="en-US" w:eastAsia="zh-CN"/>
              </w:rPr>
              <w:t>需全部满足</w:t>
            </w: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响应内容以设备技术要求响应表为准</w:t>
            </w:r>
            <w:r>
              <w:rPr>
                <w:rFonts w:hint="eastAsia" w:ascii="宋体" w:hAnsi="宋体" w:eastAsia="宋体" w:cs="宋体"/>
                <w:b/>
                <w:bCs/>
                <w:color w:val="auto"/>
                <w:szCs w:val="21"/>
                <w:highlight w:val="none"/>
              </w:rPr>
              <w:t>。</w:t>
            </w:r>
            <w:r>
              <w:rPr>
                <w:rFonts w:hint="eastAsia" w:ascii="宋体" w:hAnsi="宋体"/>
                <w:b/>
                <w:bCs/>
                <w:color w:val="000000"/>
                <w:spacing w:val="8"/>
                <w:highlight w:val="none"/>
              </w:rPr>
              <w:t>提供原厂质保，质保期按照国家规定，且不低于所供品牌向用户承诺的质保期限。质保期从货物验收合格后算起。</w:t>
            </w:r>
          </w:p>
        </w:tc>
      </w:tr>
    </w:tbl>
    <w:p>
      <w:pPr>
        <w:widowControl/>
        <w:spacing w:line="360" w:lineRule="auto"/>
        <w:jc w:val="left"/>
        <w:rPr>
          <w:rFonts w:hint="eastAsia" w:ascii="Times New Roman" w:hAnsi="Times New Roman" w:eastAsia="宋体" w:cs="Times New Roman"/>
          <w:b/>
          <w:bCs/>
          <w:highlight w:val="none"/>
          <w:lang w:val="en-US" w:eastAsia="zh-CN"/>
        </w:rPr>
      </w:pPr>
      <w:r>
        <w:rPr>
          <w:rFonts w:hint="eastAsia" w:cs="Times New Roman"/>
          <w:b/>
          <w:bCs/>
          <w:highlight w:val="none"/>
          <w:lang w:val="en-US" w:eastAsia="zh-CN"/>
        </w:rPr>
        <w:t>七</w:t>
      </w:r>
      <w:r>
        <w:rPr>
          <w:rFonts w:hint="eastAsia" w:ascii="Times New Roman" w:hAnsi="Times New Roman" w:eastAsia="宋体" w:cs="Times New Roman"/>
          <w:b/>
          <w:bCs/>
          <w:highlight w:val="none"/>
          <w:lang w:val="en-US" w:eastAsia="zh-CN"/>
        </w:rPr>
        <w:t>、实施服务要求</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highlight w:val="none"/>
          <w:lang w:eastAsia="zh-CN"/>
        </w:rPr>
        <w:t>1.投标人所投临床营养诊疗系统应具有软件著作权证书；投标人</w:t>
      </w:r>
      <w:r>
        <w:rPr>
          <w:rFonts w:hint="eastAsia" w:ascii="宋体" w:hAnsi="宋体" w:cs="宋体"/>
          <w:b/>
          <w:bCs/>
          <w:color w:val="auto"/>
          <w:sz w:val="21"/>
          <w:szCs w:val="21"/>
          <w:highlight w:val="none"/>
          <w:lang w:val="en-US" w:eastAsia="zh-CN"/>
        </w:rPr>
        <w:t>投标时</w:t>
      </w:r>
      <w:r>
        <w:rPr>
          <w:rFonts w:hint="eastAsia" w:ascii="宋体" w:hAnsi="宋体" w:eastAsia="宋体" w:cs="宋体"/>
          <w:b/>
          <w:bCs/>
          <w:color w:val="auto"/>
          <w:sz w:val="21"/>
          <w:szCs w:val="21"/>
          <w:highlight w:val="none"/>
          <w:lang w:eastAsia="zh-CN"/>
        </w:rPr>
        <w:t>需提供软件著作权登记证书扫描件</w:t>
      </w:r>
      <w:r>
        <w:rPr>
          <w:rFonts w:hint="eastAsia" w:ascii="宋体" w:hAnsi="宋体" w:cs="宋体"/>
          <w:b/>
          <w:bCs/>
          <w:color w:val="auto"/>
          <w:sz w:val="21"/>
          <w:szCs w:val="21"/>
          <w:highlight w:val="none"/>
          <w:lang w:val="en-US" w:eastAsia="zh-CN"/>
        </w:rPr>
        <w:t>并加盖单位公章</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lang w:eastAsia="zh-CN"/>
        </w:rPr>
        <w:t>若投标人为代理商，则</w:t>
      </w:r>
      <w:r>
        <w:rPr>
          <w:rFonts w:hint="eastAsia" w:ascii="宋体" w:hAnsi="宋体" w:eastAsia="宋体" w:cs="宋体"/>
          <w:b/>
          <w:bCs/>
          <w:color w:val="auto"/>
          <w:sz w:val="21"/>
          <w:szCs w:val="21"/>
          <w:highlight w:val="none"/>
          <w:lang w:val="en-US" w:eastAsia="zh-CN"/>
        </w:rPr>
        <w:t>另</w:t>
      </w:r>
      <w:r>
        <w:rPr>
          <w:rFonts w:hint="eastAsia" w:ascii="宋体" w:hAnsi="宋体" w:cs="宋体"/>
          <w:b/>
          <w:bCs/>
          <w:color w:val="auto"/>
          <w:sz w:val="21"/>
          <w:szCs w:val="21"/>
          <w:highlight w:val="none"/>
          <w:lang w:val="en-US" w:eastAsia="zh-CN"/>
        </w:rPr>
        <w:t>需</w:t>
      </w:r>
      <w:r>
        <w:rPr>
          <w:rFonts w:hint="eastAsia" w:ascii="宋体" w:hAnsi="宋体" w:eastAsia="宋体" w:cs="宋体"/>
          <w:b/>
          <w:bCs/>
          <w:color w:val="auto"/>
          <w:sz w:val="21"/>
          <w:szCs w:val="21"/>
          <w:highlight w:val="none"/>
          <w:lang w:eastAsia="zh-CN"/>
        </w:rPr>
        <w:t>提供软件原厂的书面授权</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lang w:val="en-US" w:eastAsia="zh-CN"/>
        </w:rPr>
        <w:t>承诺函</w:t>
      </w:r>
      <w:r>
        <w:rPr>
          <w:rFonts w:hint="eastAsia" w:ascii="宋体" w:hAnsi="宋体" w:eastAsia="宋体" w:cs="宋体"/>
          <w:b/>
          <w:bCs/>
          <w:color w:val="auto"/>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2.中标人应成立针对该项目的项目工作组,具有健全的项目管理制度和流程，以及合格的项目实施人员，对该项目建设进行全过程质量管理，确保项目实施的顺利。</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3.项目实施要求：提供项目实施计划，实施过程中每周提供实施周报；项目经理具备五年以上本行业的工作经验，具备良好的沟通能力。</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4.项目实施过程中，保证除项目经理外至少一名以上具有三年以上经验的开发和实施技术员驻场处理。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5.项目培训要求：医院工作人员的特殊性，中标</w:t>
      </w:r>
      <w:r>
        <w:rPr>
          <w:rFonts w:hint="eastAsia" w:ascii="宋体" w:hAnsi="宋体" w:cs="宋体"/>
          <w:color w:val="auto"/>
          <w:sz w:val="21"/>
          <w:szCs w:val="21"/>
          <w:lang w:val="en-US" w:eastAsia="zh-CN"/>
        </w:rPr>
        <w:t>人</w:t>
      </w:r>
      <w:r>
        <w:rPr>
          <w:rFonts w:hint="eastAsia" w:ascii="宋体" w:hAnsi="宋体" w:eastAsia="宋体" w:cs="宋体"/>
          <w:color w:val="auto"/>
          <w:sz w:val="21"/>
          <w:szCs w:val="21"/>
          <w:lang w:eastAsia="zh-CN"/>
        </w:rPr>
        <w:t>必须根据医护人员的要求提供现场培训，提供培训文档和培训视频。</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6.中标人必须培养采购人两名及以上技术人员完全掌握数据平台技术细节，要能单独进行维护和操作。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7.中标人在签定合同后两个月内完成项目的整体实施。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8.该项目自验收合格之日起，</w:t>
      </w:r>
      <w:r>
        <w:rPr>
          <w:rFonts w:hint="eastAsia" w:ascii="宋体" w:hAnsi="宋体" w:eastAsia="宋体" w:cs="宋体"/>
          <w:b/>
          <w:bCs/>
          <w:color w:val="auto"/>
          <w:sz w:val="21"/>
          <w:szCs w:val="21"/>
          <w:lang w:eastAsia="zh-CN"/>
        </w:rPr>
        <w:t>提供两年的免费维护</w:t>
      </w:r>
      <w:r>
        <w:rPr>
          <w:rFonts w:hint="eastAsia" w:ascii="宋体" w:hAnsi="宋体" w:eastAsia="宋体" w:cs="宋体"/>
          <w:color w:val="auto"/>
          <w:sz w:val="21"/>
          <w:szCs w:val="21"/>
          <w:lang w:eastAsia="zh-CN"/>
        </w:rPr>
        <w:t>，为合同约定的运维期。运维期间内，如遇软件产品升级、改版，应免费提供原厂更新、升级服务。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9.专利权和保密要求：投标人应保证采购人在使用该软件或其任何一部分时，不受第三方侵权指控。同时，投标人不得向第三方泄露采购机构提供的技术文件等资料。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10.在项目实施及运维期，若因临床营养诊疗软件版权纠纷导致采购人无法使用或受损的，采购人将依法追究中标人的责任。</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11.文档资料管理：文档是保证项目实施连贯性的重要保证，中标人需要提供完善的文档，并对项目进行过程中的文档进行有效的管理，接受采购人对项目各阶段评估分析和监督管理。整个项目的过程包括后期修改、维护，提供系统、完整的项目管理、设计和开发、操作说明等书面文档及其电子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12.要求系统有很强的可扩展性、开放性、容错性、易维护性，能方便进行系统设置、维护、权限分配，能保证系统能够最切合采购人自身实际情况。中标人提供完善的数据安全、数据备份、容备灾机制，确保软件系统24小时不间断运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13.系统验收前，必须至少有一名以上具有三年以上经验的技术员驻场在信息中心，满足实时响应，处理故障时间不能超过30分钟。</w:t>
      </w:r>
    </w:p>
    <w:p>
      <w:pPr>
        <w:widowControl/>
        <w:spacing w:line="360" w:lineRule="auto"/>
        <w:jc w:val="left"/>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八、运维期售后技术服务要求：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定期巡检：进行定期巡检，检查系统运行状况，并以书面形式向采购人提供系统运行状况报告。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运维期内，提供包含但不限于以下服务：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（1）数据库整理、清除冗余数据信息；数据库系统性能优化；</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（2）数据库的安全备份和转储；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（3）系统应用软件的维护；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（4）软件现有功能的维护，保证数据的正确性和可靠性；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（5）对软件现有功能出现的故障进行诊断、检测、分析和处理；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（6）当出现数据错误或不能工作时，负责检测和分析，并尽快排除故障；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（7）在出现系统整体速度减慢影响业务之前，负责检测和分析，并尽快做出预防性处置，保证系统的正常运行。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运维期内，中标人应提供现场维护与技术支持，提供培训服务，并指派专人负责与医院协调售后服务事宜。</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运维期内，中标人应提供系统升级服务，包括软件补丁安装、软件版本升级等内容。中标人负责提供介质及相关许可证、实施系统升级服务、并进行系统升级完成后的测试。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运维期内提供7×24的电话支持，每周7天、每天24小时(包括公众节假日)为该软件故障提供不限次的电话支持服务。软、硬件设备出现故障，中标人接到要求后60分钟内响应，优先远程处理，若无法远程处理则应派出技术工程师到达现场处理故障，应24小时内到达现场，48小时内处理完毕。</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lang w:eastAsia="zh-CN"/>
        </w:rPr>
        <w:t>★6</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运维期满后，中标人与采购人友好协商，签订维保合同，维保费用不得高于中标合同款项中软件部分的8%，维保期间必须按照</w:t>
      </w:r>
      <w:r>
        <w:rPr>
          <w:rFonts w:hint="eastAsia" w:ascii="宋体" w:hAnsi="宋体" w:eastAsia="宋体" w:cs="宋体"/>
          <w:color w:val="auto"/>
          <w:sz w:val="21"/>
          <w:szCs w:val="21"/>
          <w:highlight w:val="none"/>
          <w:lang w:eastAsia="zh-CN"/>
        </w:rPr>
        <w:t>医院的维保要求定期进行现场服务，保证提供优质服务，包括修改、升级、增加新功能模块、应急故障处理等。</w:t>
      </w:r>
    </w:p>
    <w:p>
      <w:pPr>
        <w:widowControl/>
        <w:spacing w:line="360" w:lineRule="auto"/>
        <w:jc w:val="left"/>
        <w:rPr>
          <w:rFonts w:hint="eastAsia" w:cs="Times New Roman"/>
          <w:b/>
          <w:bCs/>
          <w:highlight w:val="none"/>
          <w:lang w:val="en-US" w:eastAsia="zh-CN"/>
        </w:rPr>
      </w:pPr>
      <w:r>
        <w:rPr>
          <w:rFonts w:hint="eastAsia" w:cs="Times New Roman"/>
          <w:b/>
          <w:bCs/>
          <w:highlight w:val="none"/>
          <w:lang w:val="en-US" w:eastAsia="zh-CN"/>
        </w:rPr>
        <w:t>注：</w:t>
      </w:r>
    </w:p>
    <w:p>
      <w:pPr>
        <w:widowControl/>
        <w:spacing w:line="360" w:lineRule="auto"/>
        <w:ind w:firstLine="422" w:firstLineChars="200"/>
        <w:jc w:val="left"/>
        <w:rPr>
          <w:rFonts w:hint="default" w:cs="Times New Roman"/>
          <w:b/>
          <w:bCs/>
          <w:highlight w:val="none"/>
          <w:lang w:val="en-US" w:eastAsia="zh-CN"/>
        </w:rPr>
      </w:pPr>
      <w:r>
        <w:rPr>
          <w:rFonts w:hint="eastAsia" w:cs="Times New Roman"/>
          <w:b/>
          <w:bCs/>
          <w:highlight w:val="none"/>
          <w:lang w:val="en-US" w:eastAsia="zh-CN"/>
        </w:rPr>
        <w:t>以上内容需全部响应，未标注的内容以响应表为准；标★项为核心内容，需提供第三方测评报告或软件功能截图或承诺函为相关证明材料；标▲为重要功能参数，需提供软件功能截图来证明功能描述中的内容；未提供证明材料的视为不响应。</w:t>
      </w:r>
    </w:p>
    <w:p>
      <w:pPr>
        <w:spacing w:line="360" w:lineRule="auto"/>
        <w:rPr>
          <w:rFonts w:ascii="宋体" w:hAnsi="宋体" w:cs="宋体"/>
          <w:b/>
          <w:bCs/>
          <w:szCs w:val="21"/>
          <w:highlight w:val="none"/>
        </w:rPr>
      </w:pPr>
      <w:r>
        <w:rPr>
          <w:rFonts w:hint="eastAsia" w:ascii="宋体" w:hAnsi="宋体" w:cs="宋体"/>
          <w:b/>
          <w:bCs/>
          <w:szCs w:val="21"/>
          <w:highlight w:val="none"/>
          <w:lang w:val="en-US" w:eastAsia="zh-CN"/>
        </w:rPr>
        <w:t>九</w:t>
      </w:r>
      <w:r>
        <w:rPr>
          <w:rFonts w:hint="eastAsia" w:ascii="宋体" w:hAnsi="宋体" w:cs="宋体"/>
          <w:b/>
          <w:bCs/>
          <w:szCs w:val="21"/>
          <w:highlight w:val="none"/>
        </w:rPr>
        <w:t>、验收</w:t>
      </w:r>
    </w:p>
    <w:p>
      <w:pPr>
        <w:spacing w:line="360" w:lineRule="auto"/>
        <w:ind w:firstLine="420" w:firstLineChars="200"/>
        <w:rPr>
          <w:highlight w:val="none"/>
        </w:rPr>
      </w:pPr>
      <w:r>
        <w:rPr>
          <w:rFonts w:hint="eastAsia" w:ascii="宋体" w:hAnsi="宋体" w:cs="宋体"/>
          <w:szCs w:val="21"/>
          <w:highlight w:val="none"/>
        </w:rPr>
        <w:t>中标人和采购人双方共同实施验收工作，结果和验收报告经双方确认后生效。</w:t>
      </w:r>
    </w:p>
    <w:p>
      <w:pPr>
        <w:spacing w:line="360" w:lineRule="auto"/>
        <w:rPr>
          <w:rFonts w:ascii="宋体" w:hAnsi="宋体" w:cs="宋体"/>
          <w:b/>
          <w:szCs w:val="21"/>
          <w:highlight w:val="none"/>
        </w:rPr>
      </w:pPr>
      <w:r>
        <w:rPr>
          <w:rFonts w:hint="eastAsia" w:ascii="宋体" w:hAnsi="宋体" w:cs="宋体"/>
          <w:b/>
          <w:szCs w:val="21"/>
          <w:highlight w:val="none"/>
          <w:lang w:val="en-US" w:eastAsia="zh-CN"/>
        </w:rPr>
        <w:t>十</w:t>
      </w:r>
      <w:r>
        <w:rPr>
          <w:rFonts w:hint="eastAsia" w:ascii="宋体" w:hAnsi="宋体" w:cs="宋体"/>
          <w:b/>
          <w:szCs w:val="21"/>
          <w:highlight w:val="none"/>
        </w:rPr>
        <w:t>、付款方式</w:t>
      </w:r>
    </w:p>
    <w:p>
      <w:pPr>
        <w:spacing w:line="360" w:lineRule="auto"/>
        <w:ind w:firstLine="422" w:firstLineChars="200"/>
        <w:jc w:val="left"/>
        <w:rPr>
          <w:rFonts w:ascii="宋体" w:hAnsi="宋体" w:cs="宋体"/>
          <w:szCs w:val="21"/>
        </w:rPr>
      </w:pPr>
      <w:r>
        <w:rPr>
          <w:rFonts w:hint="eastAsia" w:ascii="宋体" w:hAnsi="宋体"/>
          <w:b/>
          <w:bCs/>
          <w:szCs w:val="21"/>
          <w:highlight w:val="none"/>
          <w:lang w:val="en-US" w:eastAsia="zh-CN"/>
        </w:rPr>
        <w:t>项目实施完成、设备供货安装调试完毕且经采购</w:t>
      </w:r>
      <w:r>
        <w:rPr>
          <w:rFonts w:hint="eastAsia" w:ascii="宋体" w:hAnsi="宋体"/>
          <w:b/>
          <w:bCs/>
          <w:szCs w:val="21"/>
          <w:lang w:val="en-US" w:eastAsia="zh-CN"/>
        </w:rPr>
        <w:t>人验收合格后30日历天内支付合同总金额的60%；系统、设备正常运行12个月后30日历天内支付合同总金额的30%；余款待运维期满后一次性付清。</w:t>
      </w:r>
    </w:p>
    <w:p>
      <w:pPr>
        <w:spacing w:line="360" w:lineRule="auto"/>
        <w:ind w:firstLine="420" w:firstLineChars="200"/>
        <w:rPr>
          <w:color w:val="000000"/>
        </w:rPr>
      </w:pPr>
    </w:p>
    <w:sectPr>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C519F"/>
    <w:rsid w:val="01A87AFF"/>
    <w:rsid w:val="01DF259E"/>
    <w:rsid w:val="024546E1"/>
    <w:rsid w:val="027B1319"/>
    <w:rsid w:val="028B1756"/>
    <w:rsid w:val="029E4167"/>
    <w:rsid w:val="02D17C6F"/>
    <w:rsid w:val="033B4533"/>
    <w:rsid w:val="037A3D44"/>
    <w:rsid w:val="039842CF"/>
    <w:rsid w:val="03A15404"/>
    <w:rsid w:val="04277C5B"/>
    <w:rsid w:val="046F4701"/>
    <w:rsid w:val="047279AA"/>
    <w:rsid w:val="04AD38D8"/>
    <w:rsid w:val="04E361D8"/>
    <w:rsid w:val="050E6095"/>
    <w:rsid w:val="054C1E5A"/>
    <w:rsid w:val="057611FE"/>
    <w:rsid w:val="05F15F97"/>
    <w:rsid w:val="065809C0"/>
    <w:rsid w:val="06C163D8"/>
    <w:rsid w:val="06CC74EF"/>
    <w:rsid w:val="06CF0C4D"/>
    <w:rsid w:val="06F95798"/>
    <w:rsid w:val="07070040"/>
    <w:rsid w:val="070714A1"/>
    <w:rsid w:val="0732493B"/>
    <w:rsid w:val="076F5B99"/>
    <w:rsid w:val="07AB3E73"/>
    <w:rsid w:val="07AF0AED"/>
    <w:rsid w:val="07D5648B"/>
    <w:rsid w:val="08122176"/>
    <w:rsid w:val="08185D1F"/>
    <w:rsid w:val="083802A3"/>
    <w:rsid w:val="08556D54"/>
    <w:rsid w:val="088E54A4"/>
    <w:rsid w:val="08A47E4B"/>
    <w:rsid w:val="08CD1C68"/>
    <w:rsid w:val="091A37AC"/>
    <w:rsid w:val="099A5207"/>
    <w:rsid w:val="0A252CFF"/>
    <w:rsid w:val="0A2C7A28"/>
    <w:rsid w:val="0A363866"/>
    <w:rsid w:val="0A3B4909"/>
    <w:rsid w:val="0AB95623"/>
    <w:rsid w:val="0ABE772F"/>
    <w:rsid w:val="0B295A49"/>
    <w:rsid w:val="0B81006F"/>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EC835FF"/>
    <w:rsid w:val="0F376F81"/>
    <w:rsid w:val="0F475907"/>
    <w:rsid w:val="0F59002D"/>
    <w:rsid w:val="0F624DCC"/>
    <w:rsid w:val="0F9C11A8"/>
    <w:rsid w:val="0FA24347"/>
    <w:rsid w:val="0FC74BFC"/>
    <w:rsid w:val="0FCB5FDE"/>
    <w:rsid w:val="102A3378"/>
    <w:rsid w:val="106E6132"/>
    <w:rsid w:val="108857A5"/>
    <w:rsid w:val="10AD283F"/>
    <w:rsid w:val="10D66138"/>
    <w:rsid w:val="11130B81"/>
    <w:rsid w:val="11181AC7"/>
    <w:rsid w:val="11273C28"/>
    <w:rsid w:val="11795E19"/>
    <w:rsid w:val="117C058D"/>
    <w:rsid w:val="11EE3815"/>
    <w:rsid w:val="12040D82"/>
    <w:rsid w:val="12361CB3"/>
    <w:rsid w:val="12406A1B"/>
    <w:rsid w:val="12AD3E05"/>
    <w:rsid w:val="12E41603"/>
    <w:rsid w:val="137524DD"/>
    <w:rsid w:val="13D0089A"/>
    <w:rsid w:val="14CE7B37"/>
    <w:rsid w:val="14FA1EB7"/>
    <w:rsid w:val="15165850"/>
    <w:rsid w:val="15516CF3"/>
    <w:rsid w:val="15671063"/>
    <w:rsid w:val="157978DD"/>
    <w:rsid w:val="15957ACA"/>
    <w:rsid w:val="15F21661"/>
    <w:rsid w:val="16014B45"/>
    <w:rsid w:val="1632480C"/>
    <w:rsid w:val="167C1C16"/>
    <w:rsid w:val="168516DE"/>
    <w:rsid w:val="16A769A2"/>
    <w:rsid w:val="16B65802"/>
    <w:rsid w:val="16F15CAE"/>
    <w:rsid w:val="171025FC"/>
    <w:rsid w:val="17163C06"/>
    <w:rsid w:val="176509F8"/>
    <w:rsid w:val="17795C19"/>
    <w:rsid w:val="17993526"/>
    <w:rsid w:val="17C7529A"/>
    <w:rsid w:val="181D157E"/>
    <w:rsid w:val="18436046"/>
    <w:rsid w:val="18642018"/>
    <w:rsid w:val="18820C52"/>
    <w:rsid w:val="19041D5F"/>
    <w:rsid w:val="1965662A"/>
    <w:rsid w:val="19705133"/>
    <w:rsid w:val="197B5AB0"/>
    <w:rsid w:val="19C24799"/>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D82128"/>
    <w:rsid w:val="2229048A"/>
    <w:rsid w:val="224662E1"/>
    <w:rsid w:val="224F636A"/>
    <w:rsid w:val="23804203"/>
    <w:rsid w:val="242C08C9"/>
    <w:rsid w:val="244F138E"/>
    <w:rsid w:val="24BE592A"/>
    <w:rsid w:val="251476E8"/>
    <w:rsid w:val="255A71DF"/>
    <w:rsid w:val="25E93E98"/>
    <w:rsid w:val="25EB6FC7"/>
    <w:rsid w:val="263E47F1"/>
    <w:rsid w:val="264F1762"/>
    <w:rsid w:val="2656701A"/>
    <w:rsid w:val="26703BC4"/>
    <w:rsid w:val="26B2243F"/>
    <w:rsid w:val="26B446C5"/>
    <w:rsid w:val="272F7121"/>
    <w:rsid w:val="2734558C"/>
    <w:rsid w:val="274A5616"/>
    <w:rsid w:val="27692E22"/>
    <w:rsid w:val="27770A7F"/>
    <w:rsid w:val="286A6B64"/>
    <w:rsid w:val="287A61C6"/>
    <w:rsid w:val="28A6500D"/>
    <w:rsid w:val="28C53A2F"/>
    <w:rsid w:val="28C776FB"/>
    <w:rsid w:val="28D320C0"/>
    <w:rsid w:val="28E42965"/>
    <w:rsid w:val="29474DEB"/>
    <w:rsid w:val="29475959"/>
    <w:rsid w:val="29AC630A"/>
    <w:rsid w:val="29AE22CF"/>
    <w:rsid w:val="29F255E0"/>
    <w:rsid w:val="2A0F4FD5"/>
    <w:rsid w:val="2AC230E7"/>
    <w:rsid w:val="2AC47580"/>
    <w:rsid w:val="2AD71701"/>
    <w:rsid w:val="2AF3313E"/>
    <w:rsid w:val="2B0F2194"/>
    <w:rsid w:val="2B1A3920"/>
    <w:rsid w:val="2B5B780D"/>
    <w:rsid w:val="2B6E3E6C"/>
    <w:rsid w:val="2B7E32D2"/>
    <w:rsid w:val="2B945005"/>
    <w:rsid w:val="2BA137E5"/>
    <w:rsid w:val="2BC74344"/>
    <w:rsid w:val="2BD73A71"/>
    <w:rsid w:val="2C3E381E"/>
    <w:rsid w:val="2C4568BF"/>
    <w:rsid w:val="2C6E3626"/>
    <w:rsid w:val="2C745C6F"/>
    <w:rsid w:val="2C937A17"/>
    <w:rsid w:val="2CAB366D"/>
    <w:rsid w:val="2D067E6F"/>
    <w:rsid w:val="2D3B5B48"/>
    <w:rsid w:val="2D497788"/>
    <w:rsid w:val="2DBC3C19"/>
    <w:rsid w:val="2DC717B4"/>
    <w:rsid w:val="2DD510E8"/>
    <w:rsid w:val="2E3D54FA"/>
    <w:rsid w:val="2E627104"/>
    <w:rsid w:val="2E9165B6"/>
    <w:rsid w:val="2E93702D"/>
    <w:rsid w:val="2ECA60D8"/>
    <w:rsid w:val="2F535752"/>
    <w:rsid w:val="2F676D2F"/>
    <w:rsid w:val="2F8A2042"/>
    <w:rsid w:val="2FAF436D"/>
    <w:rsid w:val="30D05D38"/>
    <w:rsid w:val="30EC193C"/>
    <w:rsid w:val="31844BC0"/>
    <w:rsid w:val="319B0539"/>
    <w:rsid w:val="31C2430B"/>
    <w:rsid w:val="31E606B1"/>
    <w:rsid w:val="31EE2735"/>
    <w:rsid w:val="329F5DEA"/>
    <w:rsid w:val="332D32FA"/>
    <w:rsid w:val="33AA207E"/>
    <w:rsid w:val="33B43889"/>
    <w:rsid w:val="34040D17"/>
    <w:rsid w:val="3437424B"/>
    <w:rsid w:val="3482084C"/>
    <w:rsid w:val="34A40493"/>
    <w:rsid w:val="34F57493"/>
    <w:rsid w:val="35053F76"/>
    <w:rsid w:val="35DC6739"/>
    <w:rsid w:val="361F6F9E"/>
    <w:rsid w:val="36236C40"/>
    <w:rsid w:val="364B2438"/>
    <w:rsid w:val="3662343D"/>
    <w:rsid w:val="36AA13C3"/>
    <w:rsid w:val="36C220B8"/>
    <w:rsid w:val="36EC3A0F"/>
    <w:rsid w:val="37785C10"/>
    <w:rsid w:val="37F41493"/>
    <w:rsid w:val="38060B00"/>
    <w:rsid w:val="383973DC"/>
    <w:rsid w:val="38B31F0D"/>
    <w:rsid w:val="39164D69"/>
    <w:rsid w:val="39401E4E"/>
    <w:rsid w:val="3959430F"/>
    <w:rsid w:val="39AD610D"/>
    <w:rsid w:val="39DB0EED"/>
    <w:rsid w:val="39FC241F"/>
    <w:rsid w:val="3A46129F"/>
    <w:rsid w:val="3A7B13CD"/>
    <w:rsid w:val="3AC91631"/>
    <w:rsid w:val="3AE24497"/>
    <w:rsid w:val="3B503837"/>
    <w:rsid w:val="3B532420"/>
    <w:rsid w:val="3B5A3261"/>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13C5593"/>
    <w:rsid w:val="416A2582"/>
    <w:rsid w:val="41765972"/>
    <w:rsid w:val="41807B75"/>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AF430B"/>
    <w:rsid w:val="44EB79FC"/>
    <w:rsid w:val="44F21D67"/>
    <w:rsid w:val="45010FCD"/>
    <w:rsid w:val="452C45BC"/>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A4C544D"/>
    <w:rsid w:val="4A607EA2"/>
    <w:rsid w:val="4A8563B3"/>
    <w:rsid w:val="4A87699A"/>
    <w:rsid w:val="4A8B672F"/>
    <w:rsid w:val="4ADB7BCB"/>
    <w:rsid w:val="4B1F77AE"/>
    <w:rsid w:val="4B441434"/>
    <w:rsid w:val="4BC011EC"/>
    <w:rsid w:val="4BF27FCE"/>
    <w:rsid w:val="4C562B1F"/>
    <w:rsid w:val="4CA3296A"/>
    <w:rsid w:val="4CC6584D"/>
    <w:rsid w:val="4CD53D3D"/>
    <w:rsid w:val="4CE629A2"/>
    <w:rsid w:val="4D267CEF"/>
    <w:rsid w:val="4D2E2B7B"/>
    <w:rsid w:val="4D8E56E6"/>
    <w:rsid w:val="4D9F0485"/>
    <w:rsid w:val="4DBB4F64"/>
    <w:rsid w:val="4DE31A11"/>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7235CD"/>
    <w:rsid w:val="57851C95"/>
    <w:rsid w:val="57EC3417"/>
    <w:rsid w:val="57FD72B5"/>
    <w:rsid w:val="57FF2F01"/>
    <w:rsid w:val="58144992"/>
    <w:rsid w:val="58237650"/>
    <w:rsid w:val="58507A62"/>
    <w:rsid w:val="58E356F5"/>
    <w:rsid w:val="59196758"/>
    <w:rsid w:val="591E1CF6"/>
    <w:rsid w:val="592D0C3E"/>
    <w:rsid w:val="593D23D7"/>
    <w:rsid w:val="593D3AAA"/>
    <w:rsid w:val="59493CF6"/>
    <w:rsid w:val="59FC1568"/>
    <w:rsid w:val="5A110743"/>
    <w:rsid w:val="5A12493E"/>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4A1623"/>
    <w:rsid w:val="6065645C"/>
    <w:rsid w:val="60815D1C"/>
    <w:rsid w:val="6097072C"/>
    <w:rsid w:val="609B24C7"/>
    <w:rsid w:val="60B97D8E"/>
    <w:rsid w:val="6113142F"/>
    <w:rsid w:val="61174889"/>
    <w:rsid w:val="61464639"/>
    <w:rsid w:val="614C5AB3"/>
    <w:rsid w:val="61836D6A"/>
    <w:rsid w:val="619F64A6"/>
    <w:rsid w:val="61AD0938"/>
    <w:rsid w:val="620C1A0F"/>
    <w:rsid w:val="625E7A5B"/>
    <w:rsid w:val="626D784A"/>
    <w:rsid w:val="627E5BF1"/>
    <w:rsid w:val="628E066E"/>
    <w:rsid w:val="629910C9"/>
    <w:rsid w:val="62FD40AB"/>
    <w:rsid w:val="632729D5"/>
    <w:rsid w:val="633635FA"/>
    <w:rsid w:val="6339784E"/>
    <w:rsid w:val="636522D0"/>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C924FD"/>
    <w:rsid w:val="66FC139D"/>
    <w:rsid w:val="673A0D43"/>
    <w:rsid w:val="675337A7"/>
    <w:rsid w:val="678444D4"/>
    <w:rsid w:val="67B20A68"/>
    <w:rsid w:val="68225767"/>
    <w:rsid w:val="683434EC"/>
    <w:rsid w:val="683851C9"/>
    <w:rsid w:val="686C3BB3"/>
    <w:rsid w:val="6887597D"/>
    <w:rsid w:val="68A734FB"/>
    <w:rsid w:val="690305BC"/>
    <w:rsid w:val="691D46F9"/>
    <w:rsid w:val="69E316F2"/>
    <w:rsid w:val="69F852DA"/>
    <w:rsid w:val="6A0C3BA0"/>
    <w:rsid w:val="6A2E4E68"/>
    <w:rsid w:val="6AE36D87"/>
    <w:rsid w:val="6AF47724"/>
    <w:rsid w:val="6AFE6256"/>
    <w:rsid w:val="6B19056F"/>
    <w:rsid w:val="6B4E24B7"/>
    <w:rsid w:val="6BB83749"/>
    <w:rsid w:val="6BDC04DC"/>
    <w:rsid w:val="6BF66C45"/>
    <w:rsid w:val="6C0C180A"/>
    <w:rsid w:val="6C1A4636"/>
    <w:rsid w:val="6C3D7860"/>
    <w:rsid w:val="6D000EB2"/>
    <w:rsid w:val="6D196605"/>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B6DAB"/>
    <w:rsid w:val="71915286"/>
    <w:rsid w:val="71DD1C74"/>
    <w:rsid w:val="71F90E21"/>
    <w:rsid w:val="72965499"/>
    <w:rsid w:val="729735E6"/>
    <w:rsid w:val="72A21BD9"/>
    <w:rsid w:val="72FE299D"/>
    <w:rsid w:val="730A0ADE"/>
    <w:rsid w:val="731E6C40"/>
    <w:rsid w:val="73401290"/>
    <w:rsid w:val="739D5F83"/>
    <w:rsid w:val="73EB4C00"/>
    <w:rsid w:val="73F7239D"/>
    <w:rsid w:val="74796BCA"/>
    <w:rsid w:val="748506DA"/>
    <w:rsid w:val="74E1092E"/>
    <w:rsid w:val="751C5E2C"/>
    <w:rsid w:val="754B6E0C"/>
    <w:rsid w:val="7572143B"/>
    <w:rsid w:val="75B275F6"/>
    <w:rsid w:val="75D50A5A"/>
    <w:rsid w:val="76317A2B"/>
    <w:rsid w:val="76335DFC"/>
    <w:rsid w:val="769F38F7"/>
    <w:rsid w:val="76B852AA"/>
    <w:rsid w:val="77754398"/>
    <w:rsid w:val="77BC123C"/>
    <w:rsid w:val="77EC4AEE"/>
    <w:rsid w:val="782E24D0"/>
    <w:rsid w:val="78397A7B"/>
    <w:rsid w:val="78657F29"/>
    <w:rsid w:val="787855B8"/>
    <w:rsid w:val="790C6929"/>
    <w:rsid w:val="792C2EA3"/>
    <w:rsid w:val="7949041D"/>
    <w:rsid w:val="795F163E"/>
    <w:rsid w:val="798C77A8"/>
    <w:rsid w:val="79E13F3E"/>
    <w:rsid w:val="7A323738"/>
    <w:rsid w:val="7A3C1D6D"/>
    <w:rsid w:val="7A565F9E"/>
    <w:rsid w:val="7A8F57B4"/>
    <w:rsid w:val="7A9C44F7"/>
    <w:rsid w:val="7AE80A83"/>
    <w:rsid w:val="7B116B6D"/>
    <w:rsid w:val="7B3D7133"/>
    <w:rsid w:val="7B6A3FBF"/>
    <w:rsid w:val="7BB46F7D"/>
    <w:rsid w:val="7BC64E5A"/>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spacing w:before="100" w:after="100"/>
      <w:jc w:val="center"/>
      <w:outlineLvl w:val="0"/>
    </w:pPr>
    <w:rPr>
      <w:b/>
      <w:bCs/>
      <w:kern w:val="44"/>
      <w:sz w:val="32"/>
      <w:szCs w:val="44"/>
    </w:rPr>
  </w:style>
  <w:style w:type="paragraph" w:styleId="4">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6"/>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8"/>
    <w:qFormat/>
    <w:uiPriority w:val="0"/>
    <w:pPr>
      <w:tabs>
        <w:tab w:val="left" w:pos="567"/>
      </w:tabs>
      <w:spacing w:before="120" w:line="22" w:lineRule="atLeast"/>
    </w:pPr>
    <w:rPr>
      <w:rFonts w:ascii="宋体" w:hAnsi="宋体"/>
      <w:sz w:val="24"/>
    </w:rPr>
  </w:style>
  <w:style w:type="paragraph" w:styleId="6">
    <w:name w:val="Normal Indent"/>
    <w:basedOn w:val="1"/>
    <w:next w:val="1"/>
    <w:link w:val="64"/>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67"/>
    <w:qFormat/>
    <w:uiPriority w:val="0"/>
    <w:rPr>
      <w:rFonts w:ascii="宋体" w:hAnsi="Calibri"/>
      <w:kern w:val="0"/>
      <w:sz w:val="18"/>
      <w:szCs w:val="18"/>
    </w:rPr>
  </w:style>
  <w:style w:type="paragraph" w:styleId="8">
    <w:name w:val="toa heading"/>
    <w:basedOn w:val="1"/>
    <w:next w:val="1"/>
    <w:qFormat/>
    <w:uiPriority w:val="99"/>
    <w:pPr>
      <w:spacing w:line="360" w:lineRule="auto"/>
    </w:pPr>
    <w:rPr>
      <w:rFonts w:ascii="Arial" w:hAnsi="Arial" w:cs="宋体"/>
    </w:rPr>
  </w:style>
  <w:style w:type="paragraph" w:styleId="9">
    <w:name w:val="annotation text"/>
    <w:basedOn w:val="1"/>
    <w:link w:val="70"/>
    <w:qFormat/>
    <w:uiPriority w:val="99"/>
    <w:pPr>
      <w:jc w:val="left"/>
    </w:pPr>
    <w:rPr>
      <w:rFonts w:ascii="Calibri" w:hAnsi="Calibri"/>
      <w:kern w:val="0"/>
      <w:sz w:val="20"/>
    </w:rPr>
  </w:style>
  <w:style w:type="paragraph" w:styleId="10">
    <w:name w:val="Body Text Indent"/>
    <w:basedOn w:val="1"/>
    <w:next w:val="11"/>
    <w:link w:val="69"/>
    <w:qFormat/>
    <w:uiPriority w:val="0"/>
    <w:pPr>
      <w:spacing w:after="120"/>
      <w:ind w:left="420" w:leftChars="200"/>
    </w:pPr>
  </w:style>
  <w:style w:type="paragraph" w:styleId="11">
    <w:name w:val="envelope return"/>
    <w:basedOn w:val="1"/>
    <w:unhideWhenUsed/>
    <w:qFormat/>
    <w:uiPriority w:val="99"/>
    <w:pPr>
      <w:snapToGrid w:val="0"/>
    </w:pPr>
    <w:rPr>
      <w:rFonts w:ascii="Arial" w:hAnsi="Arial"/>
    </w:rPr>
  </w:style>
  <w:style w:type="paragraph" w:styleId="12">
    <w:name w:val="toc 3"/>
    <w:basedOn w:val="1"/>
    <w:next w:val="1"/>
    <w:qFormat/>
    <w:uiPriority w:val="39"/>
    <w:pPr>
      <w:spacing w:line="500" w:lineRule="exact"/>
      <w:ind w:left="400" w:leftChars="400"/>
    </w:pPr>
    <w:rPr>
      <w:sz w:val="24"/>
    </w:rPr>
  </w:style>
  <w:style w:type="paragraph" w:styleId="13">
    <w:name w:val="Plain Text"/>
    <w:basedOn w:val="1"/>
    <w:next w:val="1"/>
    <w:link w:val="62"/>
    <w:qFormat/>
    <w:uiPriority w:val="0"/>
    <w:rPr>
      <w:rFonts w:ascii="宋体" w:hAnsi="Courier New"/>
      <w:kern w:val="0"/>
      <w:sz w:val="20"/>
      <w:szCs w:val="20"/>
    </w:rPr>
  </w:style>
  <w:style w:type="paragraph" w:styleId="14">
    <w:name w:val="Date"/>
    <w:basedOn w:val="1"/>
    <w:next w:val="1"/>
    <w:link w:val="66"/>
    <w:qFormat/>
    <w:uiPriority w:val="0"/>
    <w:pPr>
      <w:ind w:left="100" w:leftChars="2500"/>
    </w:pPr>
    <w:rPr>
      <w:rFonts w:ascii="Calibri" w:hAnsi="Calibri"/>
    </w:rPr>
  </w:style>
  <w:style w:type="paragraph" w:styleId="15">
    <w:name w:val="Body Text Indent 2"/>
    <w:basedOn w:val="1"/>
    <w:link w:val="59"/>
    <w:qFormat/>
    <w:uiPriority w:val="0"/>
    <w:pPr>
      <w:spacing w:after="120" w:line="480" w:lineRule="auto"/>
      <w:ind w:left="420" w:leftChars="200"/>
    </w:pPr>
  </w:style>
  <w:style w:type="paragraph" w:styleId="16">
    <w:name w:val="Balloon Text"/>
    <w:basedOn w:val="1"/>
    <w:link w:val="60"/>
    <w:unhideWhenUsed/>
    <w:qFormat/>
    <w:uiPriority w:val="99"/>
    <w:rPr>
      <w:sz w:val="18"/>
      <w:szCs w:val="18"/>
    </w:rPr>
  </w:style>
  <w:style w:type="paragraph" w:styleId="17">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18">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left" w:pos="1260"/>
        <w:tab w:val="right" w:leader="dot" w:pos="9060"/>
      </w:tabs>
      <w:spacing w:line="500" w:lineRule="exact"/>
    </w:pPr>
    <w:rPr>
      <w:sz w:val="24"/>
    </w:rPr>
  </w:style>
  <w:style w:type="paragraph" w:styleId="20">
    <w:name w:val="toc 6"/>
    <w:basedOn w:val="1"/>
    <w:next w:val="1"/>
    <w:unhideWhenUsed/>
    <w:qFormat/>
    <w:uiPriority w:val="39"/>
    <w:pPr>
      <w:ind w:left="2100" w:leftChars="1000"/>
    </w:pPr>
  </w:style>
  <w:style w:type="paragraph" w:styleId="21">
    <w:name w:val="table of figures"/>
    <w:basedOn w:val="1"/>
    <w:next w:val="1"/>
    <w:semiHidden/>
    <w:unhideWhenUsed/>
    <w:qFormat/>
    <w:uiPriority w:val="99"/>
    <w:pPr>
      <w:ind w:left="200" w:leftChars="200" w:hanging="200" w:hangingChars="200"/>
    </w:pPr>
  </w:style>
  <w:style w:type="paragraph" w:styleId="22">
    <w:name w:val="toc 2"/>
    <w:basedOn w:val="1"/>
    <w:next w:val="1"/>
    <w:qFormat/>
    <w:uiPriority w:val="39"/>
    <w:pPr>
      <w:spacing w:line="500" w:lineRule="exact"/>
      <w:ind w:left="200" w:leftChars="200"/>
    </w:pPr>
    <w:rPr>
      <w:sz w:val="24"/>
    </w:rPr>
  </w:style>
  <w:style w:type="paragraph" w:styleId="23">
    <w:name w:val="Normal (Web)"/>
    <w:basedOn w:val="1"/>
    <w:qFormat/>
    <w:uiPriority w:val="0"/>
    <w:pPr>
      <w:spacing w:before="100" w:beforeAutospacing="1" w:after="100" w:afterAutospacing="1"/>
      <w:jc w:val="left"/>
    </w:pPr>
    <w:rPr>
      <w:kern w:val="0"/>
      <w:sz w:val="24"/>
    </w:rPr>
  </w:style>
  <w:style w:type="paragraph" w:styleId="24">
    <w:name w:val="index 1"/>
    <w:basedOn w:val="1"/>
    <w:next w:val="1"/>
    <w:semiHidden/>
    <w:qFormat/>
    <w:uiPriority w:val="0"/>
    <w:rPr>
      <w:szCs w:val="20"/>
    </w:rPr>
  </w:style>
  <w:style w:type="paragraph" w:styleId="25">
    <w:name w:val="annotation subject"/>
    <w:basedOn w:val="9"/>
    <w:next w:val="9"/>
    <w:link w:val="85"/>
    <w:semiHidden/>
    <w:unhideWhenUsed/>
    <w:qFormat/>
    <w:uiPriority w:val="99"/>
    <w:rPr>
      <w:rFonts w:ascii="Times New Roman" w:hAnsi="Times New Roman"/>
      <w:b/>
      <w:bCs/>
      <w:kern w:val="2"/>
      <w:sz w:val="21"/>
    </w:rPr>
  </w:style>
  <w:style w:type="paragraph" w:styleId="26">
    <w:name w:val="Body Text First Indent"/>
    <w:basedOn w:val="2"/>
    <w:next w:val="20"/>
    <w:qFormat/>
    <w:uiPriority w:val="0"/>
    <w:pPr>
      <w:spacing w:after="120"/>
      <w:ind w:firstLine="420" w:firstLineChars="100"/>
    </w:pPr>
  </w:style>
  <w:style w:type="paragraph" w:styleId="27">
    <w:name w:val="Body Text First Indent 2"/>
    <w:basedOn w:val="10"/>
    <w:next w:val="26"/>
    <w:qFormat/>
    <w:uiPriority w:val="0"/>
    <w:pPr>
      <w:ind w:firstLine="420" w:firstLineChars="2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20"/>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ascii="monospace" w:hAnsi="monospace" w:eastAsia="monospace" w:cs="monospace"/>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0"/>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0"/>
    <w:semiHidden/>
    <w:qFormat/>
    <w:uiPriority w:val="99"/>
    <w:rPr>
      <w:rFonts w:ascii="Times New Roman" w:hAnsi="Times New Roman" w:eastAsia="宋体" w:cs="Times New Roman"/>
      <w:szCs w:val="24"/>
    </w:rPr>
  </w:style>
  <w:style w:type="character" w:customStyle="1" w:styleId="54">
    <w:name w:val="纯文本 Char1"/>
    <w:basedOn w:val="30"/>
    <w:semiHidden/>
    <w:qFormat/>
    <w:uiPriority w:val="99"/>
    <w:rPr>
      <w:rFonts w:ascii="宋体" w:hAnsi="Courier New" w:eastAsia="宋体" w:cs="Courier New"/>
      <w:szCs w:val="21"/>
    </w:rPr>
  </w:style>
  <w:style w:type="character" w:customStyle="1" w:styleId="55">
    <w:name w:val="页眉 字符"/>
    <w:basedOn w:val="30"/>
    <w:link w:val="18"/>
    <w:qFormat/>
    <w:uiPriority w:val="0"/>
    <w:rPr>
      <w:rFonts w:ascii="Times New Roman" w:hAnsi="Times New Roman" w:eastAsia="宋体" w:cs="Times New Roman"/>
      <w:sz w:val="18"/>
      <w:szCs w:val="18"/>
    </w:rPr>
  </w:style>
  <w:style w:type="character" w:customStyle="1" w:styleId="56">
    <w:name w:val="页脚 Char"/>
    <w:basedOn w:val="30"/>
    <w:qFormat/>
    <w:uiPriority w:val="0"/>
    <w:rPr>
      <w:sz w:val="18"/>
      <w:szCs w:val="18"/>
    </w:rPr>
  </w:style>
  <w:style w:type="character" w:customStyle="1" w:styleId="57">
    <w:name w:val="页脚 字符"/>
    <w:basedOn w:val="30"/>
    <w:link w:val="17"/>
    <w:semiHidden/>
    <w:qFormat/>
    <w:uiPriority w:val="99"/>
    <w:rPr>
      <w:rFonts w:ascii="Times New Roman" w:hAnsi="Times New Roman" w:eastAsia="宋体" w:cs="Times New Roman"/>
      <w:sz w:val="18"/>
      <w:szCs w:val="18"/>
    </w:rPr>
  </w:style>
  <w:style w:type="character" w:customStyle="1" w:styleId="58">
    <w:name w:val="标题 1 字符"/>
    <w:basedOn w:val="30"/>
    <w:link w:val="3"/>
    <w:qFormat/>
    <w:uiPriority w:val="0"/>
    <w:rPr>
      <w:rFonts w:ascii="Times New Roman" w:hAnsi="Times New Roman" w:eastAsia="宋体" w:cs="Times New Roman"/>
      <w:b/>
      <w:bCs/>
      <w:kern w:val="44"/>
      <w:sz w:val="32"/>
      <w:szCs w:val="44"/>
    </w:rPr>
  </w:style>
  <w:style w:type="character" w:customStyle="1" w:styleId="59">
    <w:name w:val="正文文本缩进 2 字符"/>
    <w:basedOn w:val="30"/>
    <w:link w:val="15"/>
    <w:qFormat/>
    <w:uiPriority w:val="0"/>
    <w:rPr>
      <w:rFonts w:ascii="Times New Roman" w:hAnsi="Times New Roman" w:eastAsia="宋体" w:cs="Times New Roman"/>
      <w:szCs w:val="24"/>
    </w:rPr>
  </w:style>
  <w:style w:type="character" w:customStyle="1" w:styleId="60">
    <w:name w:val="批注框文本 字符"/>
    <w:basedOn w:val="30"/>
    <w:link w:val="16"/>
    <w:semiHidden/>
    <w:qFormat/>
    <w:uiPriority w:val="99"/>
    <w:rPr>
      <w:rFonts w:ascii="Times New Roman" w:hAnsi="Times New Roman" w:eastAsia="宋体" w:cs="Times New Roman"/>
      <w:sz w:val="18"/>
      <w:szCs w:val="18"/>
    </w:rPr>
  </w:style>
  <w:style w:type="character" w:customStyle="1" w:styleId="61">
    <w:name w:val="文档结构图 Char1"/>
    <w:basedOn w:val="30"/>
    <w:semiHidden/>
    <w:qFormat/>
    <w:uiPriority w:val="99"/>
    <w:rPr>
      <w:rFonts w:ascii="宋体" w:hAnsi="Times New Roman" w:eastAsia="宋体" w:cs="Times New Roman"/>
      <w:sz w:val="18"/>
      <w:szCs w:val="18"/>
    </w:rPr>
  </w:style>
  <w:style w:type="character" w:customStyle="1" w:styleId="62">
    <w:name w:val="纯文本 字符"/>
    <w:link w:val="13"/>
    <w:qFormat/>
    <w:uiPriority w:val="0"/>
    <w:rPr>
      <w:rFonts w:ascii="宋体" w:hAnsi="Courier New"/>
    </w:rPr>
  </w:style>
  <w:style w:type="character" w:customStyle="1" w:styleId="63">
    <w:name w:val="标题 2 字符"/>
    <w:basedOn w:val="30"/>
    <w:link w:val="4"/>
    <w:qFormat/>
    <w:uiPriority w:val="0"/>
    <w:rPr>
      <w:rFonts w:ascii="Arial" w:hAnsi="Arial" w:eastAsia="宋体" w:cs="Times New Roman"/>
      <w:b/>
      <w:kern w:val="0"/>
      <w:sz w:val="32"/>
      <w:szCs w:val="20"/>
    </w:rPr>
  </w:style>
  <w:style w:type="character" w:customStyle="1" w:styleId="64">
    <w:name w:val="正文缩进 字符"/>
    <w:link w:val="6"/>
    <w:qFormat/>
    <w:uiPriority w:val="0"/>
    <w:rPr>
      <w:rFonts w:ascii="宋体" w:hAnsi="Times New Roman" w:eastAsia="宋体" w:cs="Times New Roman"/>
      <w:kern w:val="0"/>
      <w:sz w:val="24"/>
      <w:szCs w:val="20"/>
    </w:rPr>
  </w:style>
  <w:style w:type="character" w:customStyle="1" w:styleId="65">
    <w:name w:val="标题 3 字符"/>
    <w:basedOn w:val="30"/>
    <w:link w:val="5"/>
    <w:qFormat/>
    <w:uiPriority w:val="0"/>
    <w:rPr>
      <w:rFonts w:ascii="宋体" w:hAnsi="Times New Roman" w:eastAsia="宋体" w:cs="Times New Roman"/>
      <w:b/>
      <w:kern w:val="0"/>
      <w:sz w:val="24"/>
      <w:szCs w:val="20"/>
    </w:rPr>
  </w:style>
  <w:style w:type="character" w:customStyle="1" w:styleId="66">
    <w:name w:val="日期 字符"/>
    <w:basedOn w:val="30"/>
    <w:link w:val="14"/>
    <w:qFormat/>
    <w:uiPriority w:val="0"/>
    <w:rPr>
      <w:szCs w:val="24"/>
    </w:rPr>
  </w:style>
  <w:style w:type="character" w:customStyle="1" w:styleId="67">
    <w:name w:val="文档结构图 字符"/>
    <w:link w:val="7"/>
    <w:qFormat/>
    <w:uiPriority w:val="0"/>
    <w:rPr>
      <w:rFonts w:ascii="宋体" w:eastAsia="宋体"/>
      <w:sz w:val="18"/>
      <w:szCs w:val="18"/>
    </w:rPr>
  </w:style>
  <w:style w:type="character" w:customStyle="1" w:styleId="68">
    <w:name w:val="正文文本 字符"/>
    <w:basedOn w:val="30"/>
    <w:link w:val="2"/>
    <w:qFormat/>
    <w:uiPriority w:val="0"/>
    <w:rPr>
      <w:rFonts w:ascii="宋体" w:hAnsi="宋体" w:eastAsia="宋体" w:cs="Times New Roman"/>
      <w:sz w:val="24"/>
      <w:szCs w:val="24"/>
    </w:rPr>
  </w:style>
  <w:style w:type="character" w:customStyle="1" w:styleId="69">
    <w:name w:val="正文文本缩进 字符"/>
    <w:basedOn w:val="30"/>
    <w:link w:val="10"/>
    <w:qFormat/>
    <w:uiPriority w:val="0"/>
    <w:rPr>
      <w:rFonts w:ascii="Times New Roman" w:hAnsi="Times New Roman" w:eastAsia="宋体" w:cs="Times New Roman"/>
      <w:szCs w:val="24"/>
    </w:rPr>
  </w:style>
  <w:style w:type="character" w:customStyle="1" w:styleId="70">
    <w:name w:val="批注文字 字符"/>
    <w:link w:val="9"/>
    <w:qFormat/>
    <w:uiPriority w:val="99"/>
    <w:rPr>
      <w:rFonts w:eastAsia="宋体"/>
      <w:szCs w:val="24"/>
    </w:rPr>
  </w:style>
  <w:style w:type="paragraph" w:customStyle="1" w:styleId="71">
    <w:name w:val="样式 标题 2 + 段后: 156 磅"/>
    <w:basedOn w:val="4"/>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5"/>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5"/>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10"/>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0"/>
    <w:qFormat/>
    <w:uiPriority w:val="0"/>
    <w:rPr>
      <w:rFonts w:hint="eastAsia" w:ascii="宋体" w:hAnsi="宋体" w:eastAsia="宋体" w:cs="宋体"/>
      <w:color w:val="000000"/>
      <w:sz w:val="22"/>
      <w:szCs w:val="22"/>
      <w:u w:val="none"/>
    </w:rPr>
  </w:style>
  <w:style w:type="character" w:customStyle="1" w:styleId="91">
    <w:name w:val="font41"/>
    <w:basedOn w:val="30"/>
    <w:qFormat/>
    <w:uiPriority w:val="0"/>
    <w:rPr>
      <w:rFonts w:hint="eastAsia" w:ascii="宋体" w:hAnsi="宋体" w:eastAsia="宋体" w:cs="宋体"/>
      <w:color w:val="000000"/>
      <w:sz w:val="22"/>
      <w:szCs w:val="22"/>
      <w:u w:val="none"/>
    </w:rPr>
  </w:style>
  <w:style w:type="character" w:customStyle="1" w:styleId="92">
    <w:name w:val="font01"/>
    <w:basedOn w:val="30"/>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2"/>
    <w:qFormat/>
    <w:uiPriority w:val="0"/>
    <w:pPr>
      <w:spacing w:after="120" w:afterAutospacing="0"/>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3565</Words>
  <Characters>20324</Characters>
  <Lines>169</Lines>
  <Paragraphs>47</Paragraphs>
  <TotalTime>5</TotalTime>
  <ScaleCrop>false</ScaleCrop>
  <LinksUpToDate>false</LinksUpToDate>
  <CharactersWithSpaces>23842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Miss</cp:lastModifiedBy>
  <cp:lastPrinted>2023-06-07T01:32:00Z</cp:lastPrinted>
  <dcterms:modified xsi:type="dcterms:W3CDTF">2024-07-15T07:20:07Z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6A6296BA7ADD405E8E298D129446C780_13</vt:lpwstr>
  </property>
  <property fmtid="{D5CDD505-2E9C-101B-9397-08002B2CF9AE}" pid="4" name="commondata">
    <vt:lpwstr>eyJoZGlkIjoiZDU2YjZhZmYxNTI5ZWY4NjEwNWYxYzM2ZWRmMDBmMTEifQ==</vt:lpwstr>
  </property>
</Properties>
</file>