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安庆市第一人民医院肾内科连续性血液净化装置（CRRT）项目</w:t>
      </w:r>
    </w:p>
    <w:p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tbl>
      <w:tblPr>
        <w:tblStyle w:val="28"/>
        <w:tblW w:w="105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306"/>
        <w:gridCol w:w="5812"/>
        <w:gridCol w:w="832"/>
        <w:gridCol w:w="723"/>
        <w:gridCol w:w="886"/>
        <w:gridCol w:w="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连续性血液净化装置（CRRT）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一、基本性能要求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1、7个驱动泵（血泵、后稀释泵、前稀释泵/透析液泵、滤出液泵、肝素泵、枸橼酸泵、钙泵）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压力监测：动脉压力、静脉压力、滤器前压力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3、平衡称：采用重量分析测量原理，具有4个电子秤。天平（秤）采用清洁区和污染区分开的上下布局形式，避免交叉感染。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4、内置一体化高效加温器，可分别加热置换液、透析液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5、具有超声空气监测器、漏血监测器、治疗液体自动除气壶、静脉壶及静脉夹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6、可进行单独前或后稀释，或前后稀释同时进行，可随时改变比例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★7、提供与机器同品牌CRRT专用空心纤维血液透析滤器；管路、滤器分开,临床可更具治疗需求选择不同的滤器。一套管路可实现CVVH、CVVHD、CVVHDF治疗，在治疗中可切换治疗模式，无需更换耗材。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8、空气探测器，采用超声波技术，可以有效监测微气泡。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9、漏血检测器：光学检测，在最大滤过液流量时，≤0.5ml/min血漏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10、报警系统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a.动脉压报警、静脉压报警、滤过压报警、TMP报警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b.气泡检知报警、装置异常报警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C.置换液/透析液换袋报警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d.加温器具备温度报警功能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e.肝素注射器结束报警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f.电源异常报警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二、治疗模式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包括SCUF、CVVH</w:t>
            </w:r>
            <w:bookmarkStart w:id="0" w:name="OLE_LINK2"/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、</w:t>
            </w:r>
            <w:bookmarkEnd w:id="0"/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CVVHD、CVVHDF</w:t>
            </w:r>
            <w:bookmarkStart w:id="1" w:name="OLE_LINK1"/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、</w:t>
            </w:r>
            <w:bookmarkEnd w:id="1"/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HP、PE（DFPP）；操作系统具备患者关爱模式，在体位变化或患者护理时减少报警；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三、配置要求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1.提供完整的使用和保养中文手册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2.具有后备电池，停电时后备电池可维持机器正常运转至安全回血下机。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highlight w:val="none"/>
                <w:lang w:val="en-US" w:eastAsia="zh-CN"/>
              </w:rPr>
              <w:t>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29万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5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备注：标星项技术参数需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highlight w:val="none"/>
              </w:rPr>
              <w:t>提供技术证明文件之一(医疗器械注册证、医疗器械注册登记表、第三方检测报告、产品技术白皮书、产品使用说明</w:t>
            </w:r>
            <w:bookmarkStart w:id="2" w:name="_GoBack"/>
            <w:bookmarkEnd w:id="2"/>
            <w:r>
              <w:rPr>
                <w:rFonts w:hint="eastAsia" w:cs="Times New Roman" w:asciiTheme="minorEastAsia" w:hAnsiTheme="minorEastAsia" w:eastAsiaTheme="minorEastAsia"/>
                <w:szCs w:val="21"/>
                <w:highlight w:val="none"/>
              </w:rPr>
              <w:t>书)予以证明。技术证明文件中关于同一技术参数的表述不一致时，相关技术证明文件的效力由高到低顺序依次为医疗器械注册证、医疗器械注册登记表、第三方检测报告、产品技术白皮书、产品使用说明书。</w:t>
            </w:r>
          </w:p>
        </w:tc>
      </w:tr>
    </w:tbl>
    <w:p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A83858"/>
    <w:multiLevelType w:val="singleLevel"/>
    <w:tmpl w:val="F6A8385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8122176"/>
    <w:rsid w:val="08185D1F"/>
    <w:rsid w:val="083802A3"/>
    <w:rsid w:val="08556D54"/>
    <w:rsid w:val="088E54A4"/>
    <w:rsid w:val="08A47E4B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65802"/>
    <w:rsid w:val="16F15CAE"/>
    <w:rsid w:val="171025FC"/>
    <w:rsid w:val="17163C06"/>
    <w:rsid w:val="176509F8"/>
    <w:rsid w:val="17795C19"/>
    <w:rsid w:val="17993526"/>
    <w:rsid w:val="17C7529A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3D66EF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000F5D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F57493"/>
    <w:rsid w:val="35053F76"/>
    <w:rsid w:val="35217298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44271"/>
    <w:rsid w:val="46CB63B3"/>
    <w:rsid w:val="46DB4D03"/>
    <w:rsid w:val="47362385"/>
    <w:rsid w:val="47753F49"/>
    <w:rsid w:val="47766D9B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5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Normal Indent"/>
    <w:basedOn w:val="1"/>
    <w:next w:val="7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Body Text First Indent 2"/>
    <w:basedOn w:val="8"/>
    <w:qFormat/>
    <w:uiPriority w:val="0"/>
    <w:pPr>
      <w:ind w:firstLine="420" w:firstLineChars="200"/>
    </w:pPr>
  </w:style>
  <w:style w:type="paragraph" w:styleId="8">
    <w:name w:val="Body Text Indent"/>
    <w:basedOn w:val="1"/>
    <w:next w:val="9"/>
    <w:link w:val="69"/>
    <w:qFormat/>
    <w:uiPriority w:val="0"/>
    <w:pPr>
      <w:spacing w:after="120"/>
      <w:ind w:left="420" w:leftChars="200"/>
    </w:p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1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2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3">
    <w:name w:val="Body Text"/>
    <w:basedOn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4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5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6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7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8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2"/>
    <w:next w:val="12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3"/>
    <w:next w:val="21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5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4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6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5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6"/>
    <w:qFormat/>
    <w:uiPriority w:val="0"/>
    <w:rPr>
      <w:szCs w:val="24"/>
    </w:rPr>
  </w:style>
  <w:style w:type="character" w:customStyle="1" w:styleId="67">
    <w:name w:val="文档结构图 字符"/>
    <w:link w:val="10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2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4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5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8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3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3565</Words>
  <Characters>20324</Characters>
  <Lines>169</Lines>
  <Paragraphs>47</Paragraphs>
  <TotalTime>0</TotalTime>
  <ScaleCrop>false</ScaleCrop>
  <LinksUpToDate>false</LinksUpToDate>
  <CharactersWithSpaces>23842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伊啊啊</cp:lastModifiedBy>
  <cp:lastPrinted>2023-06-07T01:32:00Z</cp:lastPrinted>
  <dcterms:modified xsi:type="dcterms:W3CDTF">2024-11-19T03:31:21Z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</Properties>
</file>