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772A6">
      <w:pPr>
        <w:spacing w:line="360" w:lineRule="auto"/>
        <w:jc w:val="center"/>
        <w:rPr>
          <w:rFonts w:hint="eastAsia" w:ascii="宋体" w:hAnsi="宋体"/>
          <w:b/>
          <w:sz w:val="28"/>
          <w:szCs w:val="28"/>
          <w:lang w:val="en-US" w:eastAsia="zh-CN"/>
        </w:rPr>
      </w:pPr>
      <w:r>
        <w:rPr>
          <w:rFonts w:hint="eastAsia" w:ascii="宋体" w:hAnsi="宋体"/>
          <w:b/>
          <w:sz w:val="28"/>
          <w:szCs w:val="28"/>
          <w:lang w:val="en-US" w:eastAsia="zh-CN"/>
        </w:rPr>
        <w:t>安庆市第一人民医院12台电梯维修维护服务采购项目</w:t>
      </w:r>
    </w:p>
    <w:p w14:paraId="163A3246">
      <w:pPr>
        <w:spacing w:line="360" w:lineRule="auto"/>
        <w:jc w:val="center"/>
        <w:rPr>
          <w:rFonts w:hint="eastAsia" w:ascii="宋体" w:hAnsi="宋体"/>
          <w:b/>
          <w:sz w:val="28"/>
          <w:szCs w:val="28"/>
          <w:lang w:val="en-US" w:eastAsia="zh-CN"/>
        </w:rPr>
      </w:pPr>
      <w:r>
        <w:rPr>
          <w:rFonts w:hint="eastAsia" w:ascii="宋体" w:hAnsi="宋体"/>
          <w:b/>
          <w:sz w:val="28"/>
          <w:szCs w:val="28"/>
        </w:rPr>
        <w:t>采购</w:t>
      </w:r>
      <w:r>
        <w:rPr>
          <w:rFonts w:hint="eastAsia" w:ascii="宋体" w:hAnsi="宋体"/>
          <w:b/>
          <w:sz w:val="28"/>
          <w:szCs w:val="28"/>
          <w:lang w:val="en-US" w:eastAsia="zh-CN"/>
        </w:rPr>
        <w:t>需求</w:t>
      </w:r>
    </w:p>
    <w:p w14:paraId="72FDE883">
      <w:pPr>
        <w:spacing w:line="480" w:lineRule="exact"/>
        <w:ind w:firstLine="422" w:firstLineChars="200"/>
        <w:rPr>
          <w:rFonts w:ascii="宋体" w:hAnsi="宋体" w:eastAsia="宋体" w:cs="宋体"/>
          <w:color w:val="1C1B10"/>
          <w:szCs w:val="21"/>
        </w:rPr>
      </w:pPr>
      <w:r>
        <w:rPr>
          <w:rFonts w:hint="eastAsia" w:ascii="宋体" w:hAnsi="宋体" w:eastAsia="宋体" w:cs="宋体"/>
          <w:b/>
          <w:bCs/>
          <w:color w:val="1C1B10"/>
          <w:szCs w:val="21"/>
          <w:lang w:val="en-US" w:eastAsia="zh-CN"/>
        </w:rPr>
        <w:t>1.</w:t>
      </w:r>
      <w:r>
        <w:rPr>
          <w:rFonts w:hint="eastAsia" w:ascii="宋体" w:hAnsi="宋体" w:eastAsia="宋体" w:cs="宋体"/>
          <w:b/>
          <w:bCs/>
          <w:color w:val="1C1B10"/>
          <w:szCs w:val="21"/>
        </w:rPr>
        <w:t>项目内容：</w:t>
      </w:r>
      <w:r>
        <w:rPr>
          <w:rFonts w:ascii="宋体" w:hAnsi="宋体" w:eastAsia="宋体" w:cs="宋体"/>
          <w:color w:val="1C1B10"/>
          <w:szCs w:val="21"/>
        </w:rPr>
        <w:t>12</w:t>
      </w:r>
      <w:r>
        <w:rPr>
          <w:rFonts w:hint="eastAsia" w:ascii="宋体" w:hAnsi="宋体" w:eastAsia="宋体" w:cs="宋体"/>
          <w:color w:val="1C1B10"/>
          <w:szCs w:val="21"/>
        </w:rPr>
        <w:t>台电梯维保服务。具体项目内容</w:t>
      </w:r>
      <w:r>
        <w:rPr>
          <w:rFonts w:hint="eastAsia" w:ascii="宋体" w:hAnsi="宋体" w:eastAsia="宋体" w:cs="宋体"/>
          <w:color w:val="1C1B10"/>
          <w:szCs w:val="21"/>
          <w:lang w:val="en-US" w:eastAsia="zh-CN"/>
        </w:rPr>
        <w:t>如下</w:t>
      </w:r>
      <w:r>
        <w:rPr>
          <w:rFonts w:hint="eastAsia" w:ascii="宋体" w:hAnsi="宋体" w:eastAsia="宋体" w:cs="宋体"/>
          <w:color w:val="1C1B10"/>
          <w:szCs w:val="21"/>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92"/>
        <w:gridCol w:w="2211"/>
        <w:gridCol w:w="853"/>
        <w:gridCol w:w="1073"/>
        <w:gridCol w:w="846"/>
        <w:gridCol w:w="1281"/>
        <w:gridCol w:w="787"/>
      </w:tblGrid>
      <w:tr w14:paraId="4CEB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5" w:type="dxa"/>
            <w:noWrap/>
          </w:tcPr>
          <w:p w14:paraId="5664105D">
            <w:pPr>
              <w:spacing w:line="480" w:lineRule="exact"/>
              <w:jc w:val="center"/>
              <w:rPr>
                <w:rFonts w:ascii="宋体" w:hAnsi="宋体" w:eastAsia="宋体" w:cs="宋体"/>
                <w:color w:val="1C1B10"/>
                <w:szCs w:val="21"/>
              </w:rPr>
            </w:pPr>
            <w:r>
              <w:rPr>
                <w:rFonts w:hint="eastAsia" w:ascii="宋体" w:hAnsi="宋体" w:eastAsia="宋体" w:cs="宋体"/>
                <w:b/>
                <w:bCs/>
                <w:color w:val="1C1B10"/>
                <w:szCs w:val="21"/>
              </w:rPr>
              <w:t>序号</w:t>
            </w:r>
          </w:p>
        </w:tc>
        <w:tc>
          <w:tcPr>
            <w:tcW w:w="1592" w:type="dxa"/>
            <w:noWrap/>
          </w:tcPr>
          <w:p w14:paraId="57D4A1DD">
            <w:pPr>
              <w:spacing w:line="480" w:lineRule="exact"/>
              <w:ind w:left="211" w:hanging="211" w:hangingChars="100"/>
              <w:jc w:val="center"/>
              <w:rPr>
                <w:rFonts w:ascii="宋体" w:hAnsi="宋体" w:eastAsia="宋体" w:cs="宋体"/>
                <w:b/>
                <w:bCs/>
                <w:color w:val="1C1B10"/>
                <w:szCs w:val="21"/>
              </w:rPr>
            </w:pPr>
            <w:r>
              <w:rPr>
                <w:rFonts w:ascii="宋体" w:hAnsi="宋体" w:eastAsia="宋体" w:cs="宋体"/>
                <w:b/>
                <w:bCs/>
                <w:color w:val="1C1B10"/>
                <w:szCs w:val="21"/>
              </w:rPr>
              <w:t>设备</w:t>
            </w:r>
            <w:r>
              <w:rPr>
                <w:rFonts w:hint="eastAsia" w:ascii="宋体" w:hAnsi="宋体" w:eastAsia="宋体" w:cs="宋体"/>
                <w:b/>
                <w:bCs/>
                <w:color w:val="1C1B10"/>
                <w:szCs w:val="21"/>
              </w:rPr>
              <w:t>所在院区</w:t>
            </w:r>
          </w:p>
        </w:tc>
        <w:tc>
          <w:tcPr>
            <w:tcW w:w="2211" w:type="dxa"/>
            <w:noWrap/>
          </w:tcPr>
          <w:p w14:paraId="13529293">
            <w:pPr>
              <w:spacing w:line="480" w:lineRule="exact"/>
              <w:jc w:val="center"/>
              <w:rPr>
                <w:rFonts w:ascii="宋体" w:hAnsi="宋体" w:eastAsia="宋体" w:cs="宋体"/>
                <w:b/>
                <w:bCs/>
                <w:color w:val="1C1B10"/>
                <w:szCs w:val="21"/>
              </w:rPr>
            </w:pPr>
            <w:r>
              <w:rPr>
                <w:rFonts w:ascii="宋体" w:hAnsi="宋体" w:eastAsia="宋体" w:cs="宋体"/>
                <w:b/>
                <w:bCs/>
                <w:color w:val="1C1B10"/>
                <w:szCs w:val="21"/>
              </w:rPr>
              <w:t>电梯型号</w:t>
            </w:r>
          </w:p>
        </w:tc>
        <w:tc>
          <w:tcPr>
            <w:tcW w:w="853" w:type="dxa"/>
            <w:noWrap/>
          </w:tcPr>
          <w:p w14:paraId="61CDCB78">
            <w:pPr>
              <w:spacing w:line="480" w:lineRule="exact"/>
              <w:jc w:val="center"/>
              <w:rPr>
                <w:rFonts w:ascii="宋体" w:hAnsi="宋体" w:eastAsia="宋体" w:cs="宋体"/>
                <w:b/>
                <w:bCs/>
                <w:color w:val="1C1B10"/>
                <w:szCs w:val="21"/>
              </w:rPr>
            </w:pPr>
            <w:r>
              <w:rPr>
                <w:rFonts w:hint="eastAsia" w:ascii="宋体" w:hAnsi="宋体" w:eastAsia="宋体" w:cs="宋体"/>
                <w:b/>
                <w:bCs/>
                <w:color w:val="1C1B10"/>
                <w:szCs w:val="21"/>
              </w:rPr>
              <w:t>层站</w:t>
            </w:r>
          </w:p>
        </w:tc>
        <w:tc>
          <w:tcPr>
            <w:tcW w:w="1073" w:type="dxa"/>
            <w:noWrap/>
          </w:tcPr>
          <w:p w14:paraId="74B06DD6">
            <w:pPr>
              <w:spacing w:line="480" w:lineRule="exact"/>
              <w:jc w:val="center"/>
              <w:rPr>
                <w:rFonts w:ascii="宋体" w:hAnsi="宋体" w:eastAsia="宋体" w:cs="宋体"/>
                <w:b/>
                <w:bCs/>
                <w:color w:val="1C1B10"/>
                <w:szCs w:val="21"/>
              </w:rPr>
            </w:pPr>
            <w:r>
              <w:rPr>
                <w:rFonts w:ascii="宋体" w:hAnsi="宋体" w:eastAsia="宋体" w:cs="宋体"/>
                <w:b/>
                <w:bCs/>
                <w:color w:val="1C1B10"/>
                <w:szCs w:val="21"/>
              </w:rPr>
              <w:t>载重</w:t>
            </w:r>
          </w:p>
        </w:tc>
        <w:tc>
          <w:tcPr>
            <w:tcW w:w="846" w:type="dxa"/>
            <w:noWrap/>
          </w:tcPr>
          <w:p w14:paraId="2F7299DD">
            <w:pPr>
              <w:spacing w:line="480" w:lineRule="exact"/>
              <w:jc w:val="center"/>
              <w:rPr>
                <w:rFonts w:ascii="宋体" w:hAnsi="宋体" w:eastAsia="宋体" w:cs="宋体"/>
                <w:b/>
                <w:bCs/>
                <w:color w:val="1C1B10"/>
                <w:szCs w:val="21"/>
              </w:rPr>
            </w:pPr>
            <w:r>
              <w:rPr>
                <w:rFonts w:ascii="宋体" w:hAnsi="宋体" w:eastAsia="宋体" w:cs="宋体"/>
                <w:b/>
                <w:bCs/>
                <w:color w:val="1C1B10"/>
                <w:szCs w:val="21"/>
              </w:rPr>
              <w:t>速度</w:t>
            </w:r>
          </w:p>
        </w:tc>
        <w:tc>
          <w:tcPr>
            <w:tcW w:w="1281" w:type="dxa"/>
            <w:noWrap/>
          </w:tcPr>
          <w:p w14:paraId="5A857525">
            <w:pPr>
              <w:spacing w:line="480" w:lineRule="exact"/>
              <w:jc w:val="center"/>
              <w:rPr>
                <w:rFonts w:ascii="宋体" w:hAnsi="宋体" w:eastAsia="宋体" w:cs="宋体"/>
                <w:b/>
                <w:bCs/>
                <w:color w:val="1C1B10"/>
                <w:szCs w:val="21"/>
              </w:rPr>
            </w:pPr>
            <w:r>
              <w:rPr>
                <w:rFonts w:ascii="宋体" w:hAnsi="宋体" w:eastAsia="宋体" w:cs="宋体"/>
                <w:b/>
                <w:bCs/>
                <w:color w:val="1C1B10"/>
                <w:szCs w:val="21"/>
              </w:rPr>
              <w:t>品牌</w:t>
            </w:r>
          </w:p>
        </w:tc>
        <w:tc>
          <w:tcPr>
            <w:tcW w:w="787" w:type="dxa"/>
          </w:tcPr>
          <w:p w14:paraId="697743AB">
            <w:pPr>
              <w:spacing w:line="480" w:lineRule="exact"/>
              <w:jc w:val="center"/>
              <w:rPr>
                <w:rFonts w:ascii="宋体" w:hAnsi="宋体" w:eastAsia="宋体" w:cs="宋体"/>
                <w:b/>
                <w:bCs/>
                <w:color w:val="1C1B10"/>
                <w:szCs w:val="21"/>
              </w:rPr>
            </w:pPr>
            <w:r>
              <w:rPr>
                <w:rFonts w:hint="eastAsia" w:ascii="宋体" w:hAnsi="宋体" w:eastAsia="宋体" w:cs="宋体"/>
                <w:b/>
                <w:bCs/>
                <w:color w:val="1C1B10"/>
                <w:szCs w:val="21"/>
              </w:rPr>
              <w:t>台数</w:t>
            </w:r>
          </w:p>
        </w:tc>
      </w:tr>
      <w:tr w14:paraId="70B9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5" w:type="dxa"/>
            <w:noWrap/>
          </w:tcPr>
          <w:p w14:paraId="14BC9DFD">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w:t>
            </w:r>
          </w:p>
        </w:tc>
        <w:tc>
          <w:tcPr>
            <w:tcW w:w="1592" w:type="dxa"/>
            <w:noWrap/>
          </w:tcPr>
          <w:p w14:paraId="2305BC58">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华中路院区</w:t>
            </w:r>
          </w:p>
        </w:tc>
        <w:tc>
          <w:tcPr>
            <w:tcW w:w="2211" w:type="dxa"/>
            <w:noWrap/>
          </w:tcPr>
          <w:p w14:paraId="2E172FBF">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TBJ1600/1.0-JXWVVVF</w:t>
            </w:r>
          </w:p>
        </w:tc>
        <w:tc>
          <w:tcPr>
            <w:tcW w:w="853" w:type="dxa"/>
            <w:noWrap/>
          </w:tcPr>
          <w:p w14:paraId="4A8F7991">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4</w:t>
            </w:r>
          </w:p>
        </w:tc>
        <w:tc>
          <w:tcPr>
            <w:tcW w:w="1073" w:type="dxa"/>
            <w:noWrap/>
          </w:tcPr>
          <w:p w14:paraId="071C463F">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1600kg</w:t>
            </w:r>
          </w:p>
        </w:tc>
        <w:tc>
          <w:tcPr>
            <w:tcW w:w="846" w:type="dxa"/>
            <w:noWrap/>
          </w:tcPr>
          <w:p w14:paraId="62BFA52B">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1.0m/s</w:t>
            </w:r>
          </w:p>
        </w:tc>
        <w:tc>
          <w:tcPr>
            <w:tcW w:w="1281" w:type="dxa"/>
            <w:noWrap/>
          </w:tcPr>
          <w:p w14:paraId="6D304AFE">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富士</w:t>
            </w:r>
          </w:p>
        </w:tc>
        <w:tc>
          <w:tcPr>
            <w:tcW w:w="787" w:type="dxa"/>
          </w:tcPr>
          <w:p w14:paraId="07CBCD11">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1台</w:t>
            </w:r>
          </w:p>
        </w:tc>
      </w:tr>
      <w:tr w14:paraId="5E79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5" w:type="dxa"/>
            <w:noWrap/>
          </w:tcPr>
          <w:p w14:paraId="28BD6250">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2</w:t>
            </w:r>
          </w:p>
        </w:tc>
        <w:tc>
          <w:tcPr>
            <w:tcW w:w="1592" w:type="dxa"/>
            <w:noWrap/>
          </w:tcPr>
          <w:p w14:paraId="04716152">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龙山院区</w:t>
            </w:r>
          </w:p>
        </w:tc>
        <w:tc>
          <w:tcPr>
            <w:tcW w:w="2211" w:type="dxa"/>
            <w:noWrap/>
          </w:tcPr>
          <w:p w14:paraId="0CAF3A7E">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TBJ1600/1.0-JXW-VF</w:t>
            </w:r>
          </w:p>
        </w:tc>
        <w:tc>
          <w:tcPr>
            <w:tcW w:w="853" w:type="dxa"/>
            <w:noWrap/>
          </w:tcPr>
          <w:p w14:paraId="3963B3FD">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4</w:t>
            </w:r>
          </w:p>
        </w:tc>
        <w:tc>
          <w:tcPr>
            <w:tcW w:w="1073" w:type="dxa"/>
            <w:noWrap/>
          </w:tcPr>
          <w:p w14:paraId="5A36C252">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1600kg</w:t>
            </w:r>
          </w:p>
        </w:tc>
        <w:tc>
          <w:tcPr>
            <w:tcW w:w="846" w:type="dxa"/>
            <w:noWrap/>
          </w:tcPr>
          <w:p w14:paraId="01C99EAE">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1.0m/s</w:t>
            </w:r>
          </w:p>
        </w:tc>
        <w:tc>
          <w:tcPr>
            <w:tcW w:w="1281" w:type="dxa"/>
            <w:noWrap/>
          </w:tcPr>
          <w:p w14:paraId="2ED9395A">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菱怡</w:t>
            </w:r>
          </w:p>
        </w:tc>
        <w:tc>
          <w:tcPr>
            <w:tcW w:w="787" w:type="dxa"/>
          </w:tcPr>
          <w:p w14:paraId="3BBA0C97">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1台</w:t>
            </w:r>
          </w:p>
        </w:tc>
      </w:tr>
      <w:tr w14:paraId="519F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5" w:type="dxa"/>
            <w:noWrap/>
          </w:tcPr>
          <w:p w14:paraId="08229197">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3</w:t>
            </w:r>
          </w:p>
        </w:tc>
        <w:tc>
          <w:tcPr>
            <w:tcW w:w="1592" w:type="dxa"/>
            <w:noWrap/>
          </w:tcPr>
          <w:p w14:paraId="3138059A">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龙山院区</w:t>
            </w:r>
          </w:p>
        </w:tc>
        <w:tc>
          <w:tcPr>
            <w:tcW w:w="2211" w:type="dxa"/>
            <w:noWrap/>
          </w:tcPr>
          <w:p w14:paraId="4D3BC42E">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TBJ1600/1.0-JXWVVVF</w:t>
            </w:r>
          </w:p>
        </w:tc>
        <w:tc>
          <w:tcPr>
            <w:tcW w:w="853" w:type="dxa"/>
            <w:noWrap/>
          </w:tcPr>
          <w:p w14:paraId="08E1ED62">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7</w:t>
            </w:r>
          </w:p>
        </w:tc>
        <w:tc>
          <w:tcPr>
            <w:tcW w:w="1073" w:type="dxa"/>
            <w:noWrap/>
          </w:tcPr>
          <w:p w14:paraId="2ABA825D">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1600kg</w:t>
            </w:r>
          </w:p>
        </w:tc>
        <w:tc>
          <w:tcPr>
            <w:tcW w:w="846" w:type="dxa"/>
            <w:noWrap/>
          </w:tcPr>
          <w:p w14:paraId="5028025A">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1.0m/s</w:t>
            </w:r>
          </w:p>
        </w:tc>
        <w:tc>
          <w:tcPr>
            <w:tcW w:w="1281" w:type="dxa"/>
            <w:noWrap/>
          </w:tcPr>
          <w:p w14:paraId="29EF04FF">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富士</w:t>
            </w:r>
          </w:p>
        </w:tc>
        <w:tc>
          <w:tcPr>
            <w:tcW w:w="787" w:type="dxa"/>
          </w:tcPr>
          <w:p w14:paraId="6E5B64BD">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4台</w:t>
            </w:r>
          </w:p>
        </w:tc>
      </w:tr>
      <w:tr w14:paraId="0C3E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noWrap/>
          </w:tcPr>
          <w:p w14:paraId="44002160">
            <w:pPr>
              <w:spacing w:line="480" w:lineRule="exact"/>
              <w:jc w:val="center"/>
              <w:rPr>
                <w:rFonts w:ascii="宋体" w:hAnsi="宋体" w:eastAsia="宋体" w:cs="宋体"/>
                <w:color w:val="1C1B10"/>
                <w:szCs w:val="21"/>
              </w:rPr>
            </w:pPr>
            <w:r>
              <w:rPr>
                <w:rFonts w:ascii="宋体" w:hAnsi="宋体" w:eastAsia="宋体" w:cs="宋体"/>
                <w:color w:val="1C1B10"/>
                <w:szCs w:val="21"/>
              </w:rPr>
              <w:t>4</w:t>
            </w:r>
          </w:p>
        </w:tc>
        <w:tc>
          <w:tcPr>
            <w:tcW w:w="1592" w:type="dxa"/>
            <w:noWrap/>
          </w:tcPr>
          <w:p w14:paraId="540D2CFA">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孝肃路院区</w:t>
            </w:r>
          </w:p>
        </w:tc>
        <w:tc>
          <w:tcPr>
            <w:tcW w:w="2211" w:type="dxa"/>
            <w:noWrap/>
          </w:tcPr>
          <w:p w14:paraId="6679E518">
            <w:pPr>
              <w:spacing w:line="480" w:lineRule="exact"/>
              <w:ind w:firstLine="420" w:firstLineChars="200"/>
              <w:jc w:val="center"/>
              <w:rPr>
                <w:rFonts w:ascii="宋体" w:hAnsi="宋体" w:eastAsia="宋体" w:cs="宋体"/>
                <w:szCs w:val="21"/>
              </w:rPr>
            </w:pPr>
            <w:r>
              <w:rPr>
                <w:rFonts w:hint="eastAsia" w:ascii="宋体" w:hAnsi="宋体" w:eastAsia="宋体" w:cs="宋体"/>
                <w:color w:val="1C1B10"/>
                <w:szCs w:val="21"/>
              </w:rPr>
              <w:t>TBJ</w:t>
            </w:r>
          </w:p>
        </w:tc>
        <w:tc>
          <w:tcPr>
            <w:tcW w:w="853" w:type="dxa"/>
            <w:noWrap/>
          </w:tcPr>
          <w:p w14:paraId="7F99A724">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6</w:t>
            </w:r>
          </w:p>
        </w:tc>
        <w:tc>
          <w:tcPr>
            <w:tcW w:w="1073" w:type="dxa"/>
            <w:noWrap/>
          </w:tcPr>
          <w:p w14:paraId="017C1913">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1600kg</w:t>
            </w:r>
          </w:p>
        </w:tc>
        <w:tc>
          <w:tcPr>
            <w:tcW w:w="846" w:type="dxa"/>
            <w:noWrap/>
          </w:tcPr>
          <w:p w14:paraId="10DA94A5">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1.0m/s</w:t>
            </w:r>
          </w:p>
        </w:tc>
        <w:tc>
          <w:tcPr>
            <w:tcW w:w="1281" w:type="dxa"/>
            <w:noWrap/>
          </w:tcPr>
          <w:p w14:paraId="2C852DE6">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菱怡</w:t>
            </w:r>
          </w:p>
        </w:tc>
        <w:tc>
          <w:tcPr>
            <w:tcW w:w="787" w:type="dxa"/>
          </w:tcPr>
          <w:p w14:paraId="2D062F8C">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2台</w:t>
            </w:r>
          </w:p>
        </w:tc>
      </w:tr>
      <w:tr w14:paraId="04AE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5" w:type="dxa"/>
            <w:noWrap/>
          </w:tcPr>
          <w:p w14:paraId="62867E5F">
            <w:pPr>
              <w:spacing w:line="480" w:lineRule="exact"/>
              <w:jc w:val="center"/>
              <w:rPr>
                <w:rFonts w:ascii="宋体" w:hAnsi="宋体" w:eastAsia="宋体" w:cs="宋体"/>
                <w:color w:val="1C1B10"/>
                <w:szCs w:val="21"/>
              </w:rPr>
            </w:pPr>
            <w:r>
              <w:rPr>
                <w:rFonts w:ascii="宋体" w:hAnsi="宋体" w:eastAsia="宋体" w:cs="宋体"/>
                <w:color w:val="1C1B10"/>
                <w:szCs w:val="21"/>
              </w:rPr>
              <w:t>5</w:t>
            </w:r>
          </w:p>
        </w:tc>
        <w:tc>
          <w:tcPr>
            <w:tcW w:w="1592" w:type="dxa"/>
            <w:noWrap/>
          </w:tcPr>
          <w:p w14:paraId="5CAADED2">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孝肃路院区</w:t>
            </w:r>
          </w:p>
        </w:tc>
        <w:tc>
          <w:tcPr>
            <w:tcW w:w="2211" w:type="dxa"/>
            <w:noWrap/>
          </w:tcPr>
          <w:p w14:paraId="2233161A">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MPH-B1600-CO60</w:t>
            </w:r>
          </w:p>
        </w:tc>
        <w:tc>
          <w:tcPr>
            <w:tcW w:w="853" w:type="dxa"/>
            <w:noWrap/>
          </w:tcPr>
          <w:p w14:paraId="1CE3A7EF">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6</w:t>
            </w:r>
          </w:p>
        </w:tc>
        <w:tc>
          <w:tcPr>
            <w:tcW w:w="1073" w:type="dxa"/>
            <w:noWrap/>
          </w:tcPr>
          <w:p w14:paraId="15B6AC3E">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1600kg</w:t>
            </w:r>
          </w:p>
        </w:tc>
        <w:tc>
          <w:tcPr>
            <w:tcW w:w="846" w:type="dxa"/>
            <w:noWrap/>
          </w:tcPr>
          <w:p w14:paraId="1BFA7222">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1.0m/s</w:t>
            </w:r>
          </w:p>
        </w:tc>
        <w:tc>
          <w:tcPr>
            <w:tcW w:w="1281" w:type="dxa"/>
            <w:noWrap/>
          </w:tcPr>
          <w:p w14:paraId="71F95140">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日立</w:t>
            </w:r>
          </w:p>
        </w:tc>
        <w:tc>
          <w:tcPr>
            <w:tcW w:w="787" w:type="dxa"/>
          </w:tcPr>
          <w:p w14:paraId="70F46F50">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2台</w:t>
            </w:r>
          </w:p>
        </w:tc>
      </w:tr>
      <w:tr w14:paraId="057B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5" w:type="dxa"/>
            <w:noWrap/>
          </w:tcPr>
          <w:p w14:paraId="01EED604">
            <w:pPr>
              <w:spacing w:line="480" w:lineRule="exact"/>
              <w:jc w:val="center"/>
              <w:rPr>
                <w:rFonts w:ascii="宋体" w:hAnsi="宋体" w:eastAsia="宋体" w:cs="宋体"/>
                <w:color w:val="1C1B10"/>
                <w:szCs w:val="21"/>
              </w:rPr>
            </w:pPr>
            <w:r>
              <w:rPr>
                <w:rFonts w:ascii="宋体" w:hAnsi="宋体" w:eastAsia="宋体" w:cs="宋体"/>
                <w:color w:val="1C1B10"/>
                <w:szCs w:val="21"/>
              </w:rPr>
              <w:t>6</w:t>
            </w:r>
          </w:p>
        </w:tc>
        <w:tc>
          <w:tcPr>
            <w:tcW w:w="1592" w:type="dxa"/>
            <w:noWrap/>
          </w:tcPr>
          <w:p w14:paraId="4295072F">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孝肃路院区</w:t>
            </w:r>
          </w:p>
        </w:tc>
        <w:tc>
          <w:tcPr>
            <w:tcW w:w="2211" w:type="dxa"/>
            <w:noWrap/>
          </w:tcPr>
          <w:p w14:paraId="6A416499">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NPH-B1600-2560</w:t>
            </w:r>
          </w:p>
        </w:tc>
        <w:tc>
          <w:tcPr>
            <w:tcW w:w="853" w:type="dxa"/>
            <w:noWrap/>
          </w:tcPr>
          <w:p w14:paraId="69BD4035">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5</w:t>
            </w:r>
          </w:p>
        </w:tc>
        <w:tc>
          <w:tcPr>
            <w:tcW w:w="1073" w:type="dxa"/>
            <w:noWrap/>
          </w:tcPr>
          <w:p w14:paraId="21ACF845">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1600kg</w:t>
            </w:r>
          </w:p>
        </w:tc>
        <w:tc>
          <w:tcPr>
            <w:tcW w:w="846" w:type="dxa"/>
            <w:noWrap/>
          </w:tcPr>
          <w:p w14:paraId="03BD380D">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1.0m/s</w:t>
            </w:r>
          </w:p>
        </w:tc>
        <w:tc>
          <w:tcPr>
            <w:tcW w:w="1281" w:type="dxa"/>
            <w:noWrap/>
          </w:tcPr>
          <w:p w14:paraId="0D1BFB0E">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日立</w:t>
            </w:r>
          </w:p>
        </w:tc>
        <w:tc>
          <w:tcPr>
            <w:tcW w:w="787" w:type="dxa"/>
          </w:tcPr>
          <w:p w14:paraId="26BEB18F">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2台</w:t>
            </w:r>
          </w:p>
        </w:tc>
      </w:tr>
    </w:tbl>
    <w:p w14:paraId="3F252F84">
      <w:pPr>
        <w:widowControl/>
        <w:numPr>
          <w:ilvl w:val="0"/>
          <w:numId w:val="0"/>
        </w:numPr>
        <w:spacing w:line="360" w:lineRule="auto"/>
        <w:ind w:firstLine="422" w:firstLineChars="200"/>
        <w:rPr>
          <w:rFonts w:hint="eastAsia" w:ascii="宋体" w:hAnsi="宋体" w:cs="宋体"/>
          <w:b/>
          <w:bCs/>
          <w:color w:val="1C1B10"/>
          <w:kern w:val="0"/>
          <w:szCs w:val="21"/>
          <w:lang w:val="en-US" w:eastAsia="zh-CN"/>
        </w:rPr>
      </w:pPr>
      <w:r>
        <w:rPr>
          <w:rFonts w:hint="eastAsia" w:ascii="宋体" w:hAnsi="宋体" w:cs="宋体"/>
          <w:b/>
          <w:bCs/>
          <w:color w:val="1C1B10"/>
          <w:kern w:val="0"/>
          <w:szCs w:val="21"/>
          <w:lang w:val="en-US" w:eastAsia="zh-CN"/>
        </w:rPr>
        <w:t>2.</w:t>
      </w:r>
      <w:r>
        <w:rPr>
          <w:rFonts w:hint="eastAsia" w:ascii="宋体" w:hAnsi="宋体" w:eastAsia="宋体" w:cs="宋体"/>
          <w:b/>
          <w:bCs/>
          <w:color w:val="1C1B10"/>
          <w:kern w:val="0"/>
          <w:szCs w:val="21"/>
          <w:lang w:val="en-US" w:eastAsia="zh-CN"/>
        </w:rPr>
        <w:t>服务期</w:t>
      </w:r>
      <w:r>
        <w:rPr>
          <w:rFonts w:hint="eastAsia" w:ascii="宋体" w:hAnsi="宋体" w:cs="宋体"/>
          <w:b/>
          <w:bCs/>
          <w:color w:val="1C1B10"/>
          <w:kern w:val="0"/>
          <w:szCs w:val="21"/>
          <w:lang w:val="en-US" w:eastAsia="zh-CN"/>
        </w:rPr>
        <w:t>限：</w:t>
      </w:r>
    </w:p>
    <w:p w14:paraId="454FD4CC">
      <w:pPr>
        <w:widowControl/>
        <w:numPr>
          <w:ilvl w:val="0"/>
          <w:numId w:val="0"/>
        </w:numPr>
        <w:spacing w:line="360" w:lineRule="auto"/>
        <w:ind w:firstLine="420" w:firstLineChars="200"/>
        <w:rPr>
          <w:rFonts w:hint="eastAsia" w:ascii="宋体" w:hAnsi="宋体" w:eastAsia="宋体" w:cs="宋体"/>
          <w:color w:val="1C1B10"/>
          <w:kern w:val="0"/>
          <w:szCs w:val="21"/>
          <w:lang w:val="en-US" w:eastAsia="zh-CN"/>
        </w:rPr>
      </w:pPr>
      <w:r>
        <w:rPr>
          <w:rFonts w:hint="eastAsia" w:ascii="宋体" w:hAnsi="宋体" w:cs="宋体"/>
          <w:color w:val="1C1B10"/>
          <w:kern w:val="0"/>
          <w:szCs w:val="21"/>
          <w:lang w:val="en-US" w:eastAsia="zh-CN"/>
        </w:rPr>
        <w:t>（1）</w:t>
      </w:r>
      <w:r>
        <w:rPr>
          <w:rFonts w:hint="eastAsia" w:ascii="宋体" w:hAnsi="宋体" w:eastAsia="宋体" w:cs="宋体"/>
          <w:color w:val="1C1B10"/>
          <w:kern w:val="0"/>
          <w:szCs w:val="21"/>
          <w:lang w:val="en-US" w:eastAsia="zh-CN"/>
        </w:rPr>
        <w:t>孝肃路院区：</w:t>
      </w:r>
      <w:r>
        <w:rPr>
          <w:rFonts w:hint="eastAsia" w:ascii="宋体" w:hAnsi="宋体" w:cs="宋体"/>
          <w:color w:val="1C1B10"/>
          <w:kern w:val="0"/>
          <w:szCs w:val="21"/>
          <w:lang w:val="en-US" w:eastAsia="zh-CN"/>
        </w:rPr>
        <w:t>自</w:t>
      </w:r>
      <w:r>
        <w:rPr>
          <w:rFonts w:hint="eastAsia" w:ascii="宋体" w:hAnsi="宋体" w:eastAsia="宋体" w:cs="宋体"/>
          <w:color w:val="1C1B10"/>
          <w:kern w:val="0"/>
          <w:szCs w:val="21"/>
          <w:lang w:val="en-US" w:eastAsia="zh-CN"/>
        </w:rPr>
        <w:t>2025年1月31日起至2027年1月6日止；</w:t>
      </w:r>
    </w:p>
    <w:p w14:paraId="6E1135DE">
      <w:pPr>
        <w:widowControl/>
        <w:numPr>
          <w:ilvl w:val="0"/>
          <w:numId w:val="0"/>
        </w:numPr>
        <w:spacing w:line="360" w:lineRule="auto"/>
        <w:ind w:firstLine="420" w:firstLineChars="200"/>
        <w:rPr>
          <w:rFonts w:hint="eastAsia" w:ascii="宋体" w:hAnsi="宋体" w:eastAsia="宋体" w:cs="宋体"/>
          <w:color w:val="1C1B10"/>
          <w:kern w:val="0"/>
          <w:szCs w:val="21"/>
          <w:lang w:val="en-US" w:eastAsia="zh-CN"/>
        </w:rPr>
      </w:pPr>
      <w:r>
        <w:rPr>
          <w:rFonts w:hint="eastAsia" w:ascii="宋体" w:hAnsi="宋体" w:cs="宋体"/>
          <w:color w:val="1C1B10"/>
          <w:kern w:val="0"/>
          <w:szCs w:val="21"/>
          <w:lang w:val="en-US" w:eastAsia="zh-CN"/>
        </w:rPr>
        <w:t>（2）</w:t>
      </w:r>
      <w:r>
        <w:rPr>
          <w:rFonts w:hint="eastAsia" w:ascii="宋体" w:hAnsi="宋体" w:eastAsia="宋体" w:cs="宋体"/>
          <w:color w:val="1C1B10"/>
          <w:kern w:val="0"/>
          <w:szCs w:val="21"/>
          <w:lang w:val="en-US" w:eastAsia="zh-CN"/>
        </w:rPr>
        <w:t>龙山院区和华中路院区</w:t>
      </w:r>
      <w:r>
        <w:rPr>
          <w:rFonts w:hint="eastAsia" w:ascii="宋体" w:hAnsi="宋体" w:cs="宋体"/>
          <w:color w:val="1C1B10"/>
          <w:kern w:val="0"/>
          <w:szCs w:val="21"/>
          <w:lang w:val="en-US" w:eastAsia="zh-CN"/>
        </w:rPr>
        <w:t>：</w:t>
      </w:r>
      <w:r>
        <w:rPr>
          <w:rFonts w:hint="eastAsia" w:ascii="宋体" w:hAnsi="宋体" w:eastAsia="宋体" w:cs="宋体"/>
          <w:color w:val="1C1B10"/>
          <w:kern w:val="0"/>
          <w:szCs w:val="21"/>
          <w:lang w:val="en-US" w:eastAsia="zh-CN"/>
        </w:rPr>
        <w:t>自2025年1月7日起至2027年1月6日止。</w:t>
      </w:r>
    </w:p>
    <w:p w14:paraId="00659B94">
      <w:pPr>
        <w:widowControl/>
        <w:spacing w:line="360" w:lineRule="auto"/>
        <w:ind w:firstLine="422" w:firstLineChars="200"/>
        <w:rPr>
          <w:rFonts w:ascii="宋体" w:hAnsi="宋体" w:eastAsia="宋体" w:cs="宋体"/>
          <w:b/>
          <w:bCs/>
          <w:color w:val="1C1B10"/>
          <w:kern w:val="0"/>
          <w:szCs w:val="21"/>
        </w:rPr>
      </w:pPr>
      <w:r>
        <w:rPr>
          <w:rFonts w:hint="eastAsia" w:ascii="宋体" w:hAnsi="宋体" w:cs="宋体"/>
          <w:b/>
          <w:bCs/>
          <w:color w:val="1C1B10"/>
          <w:kern w:val="0"/>
          <w:szCs w:val="21"/>
          <w:lang w:val="en-US" w:eastAsia="zh-CN"/>
        </w:rPr>
        <w:t>3.</w:t>
      </w:r>
      <w:r>
        <w:rPr>
          <w:rFonts w:hint="eastAsia" w:ascii="宋体" w:hAnsi="宋体" w:eastAsia="宋体" w:cs="宋体"/>
          <w:b/>
          <w:bCs/>
          <w:color w:val="1C1B10"/>
          <w:kern w:val="0"/>
          <w:szCs w:val="21"/>
        </w:rPr>
        <w:t>维保服务内容及要求：</w:t>
      </w:r>
    </w:p>
    <w:p w14:paraId="550E2D8B">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1）本次电梯维保服务项目为全包服务，要求按国家相关规范及院内电梯实际运行需求落实电梯日常维修、维护、保养、应急演练、日常安全管理、年度检测、检测校验等服务。维修维护中所需所有配件均由中标人提供，除合同维保费外，招标人在维保过程中不承担任何其他费用。</w:t>
      </w:r>
    </w:p>
    <w:p w14:paraId="1BF610DB">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（2）中标人须按下列标准及要求进行电梯维护保养：</w:t>
      </w:r>
    </w:p>
    <w:p w14:paraId="49F15DE0">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①TSG T5002-2017 《电梯维护保养规则》；</w:t>
      </w:r>
    </w:p>
    <w:p w14:paraId="4BAB3CAE">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②GB/T 18775-2009 《电梯、自动扶梯和自动人行道维修规范》；</w:t>
      </w:r>
    </w:p>
    <w:p w14:paraId="0343C50B">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③TSG T7001-2009 《电梯监督检验和定期检验规则—曳引与强制驱动电梯》</w:t>
      </w:r>
    </w:p>
    <w:p w14:paraId="59EAE4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④电梯安装使用维护说明书；</w:t>
      </w:r>
    </w:p>
    <w:p w14:paraId="23549F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⑤安庆市电梯安全监察办法；</w:t>
      </w:r>
    </w:p>
    <w:p w14:paraId="007B38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⑥本次招标文件、投标文件、合同。</w:t>
      </w:r>
    </w:p>
    <w:p w14:paraId="122BB0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包括但不限于以上标准规范，若服务期内出台新的标准和规范，中标人须无条件执行。</w:t>
      </w:r>
    </w:p>
    <w:p w14:paraId="31249F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（3）中标人负责电梯日常维护保养，按规范及招标人要求完成电梯</w:t>
      </w:r>
      <w:r>
        <w:rPr>
          <w:rFonts w:hint="eastAsia" w:ascii="宋体" w:hAnsi="宋体" w:cs="宋体"/>
          <w:szCs w:val="21"/>
          <w:highlight w:val="yellow"/>
          <w:lang w:eastAsia="zh-CN"/>
        </w:rPr>
        <w:t>每日检查</w:t>
      </w:r>
      <w:r>
        <w:rPr>
          <w:rFonts w:hint="eastAsia" w:ascii="宋体" w:hAnsi="宋体" w:cs="宋体"/>
          <w:szCs w:val="21"/>
          <w:lang w:eastAsia="zh-CN"/>
        </w:rPr>
        <w:t>、</w:t>
      </w:r>
      <w:r>
        <w:rPr>
          <w:rFonts w:hint="eastAsia" w:ascii="宋体" w:hAnsi="宋体" w:eastAsia="宋体" w:cs="宋体"/>
          <w:szCs w:val="21"/>
        </w:rPr>
        <w:t>每半月、每季度、每半年的维保项目，及时处理电梯故障及困人事件，确保电梯安全、舒适、可靠的运行。</w:t>
      </w:r>
    </w:p>
    <w:p w14:paraId="6507FC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4）电梯的日检查保养项目：检查电动机温升、油位、油色和电动机的声音是否正常,有无异味、异常响声和振动,风机是否运转良好,做好外部清洁工作。检查减速器传动有无异常声音和振动,联结轴是否渗油,做好外部清洁工作。检查制动器线圈温升是否正常,检查制动轮、闸瓦、传动臂是否工作正常。检查继电器、接触器动作是否正常,有无异味及异常响声。检查曳引轮、曳引绳、限速器、导向轮、抗绳轮、反绳轮、涨绳轮运行是否正常,有无异常声响,有无曳引绳断丝等。检查变压器、电阻器、电抗器有无过热。检查机房温度是否符合规定需求,保持机房清洁状况良好,机房不得堆放易燃和腐蚀性物品,消防器材齐备良好,去往机房的通道应畅通,通讯设施良好,机房照明是否正常。对自动扶梯上下部机房、安全装置、扶手驱动装置进行检查、调整、润滑和清洁。包括但不限于以上日检内容及要求。如有不正常现象应立即停梯进行修理,调整或更换。暂时不能处理而又允许暂缓处理的应跟踪运行,观察其发展情况,防止发生事故，若发现严重现象应立即</w:t>
      </w:r>
      <w:r>
        <w:fldChar w:fldCharType="begin"/>
      </w:r>
      <w:r>
        <w:instrText xml:space="preserve"> HYPERLINK "http://www.fdcew.com/gw/List_202.html" \t "http://www.fdcew.com/hypx/zgc/_blank" </w:instrText>
      </w:r>
      <w:r>
        <w:fldChar w:fldCharType="separate"/>
      </w:r>
      <w:r>
        <w:rPr>
          <w:rFonts w:hint="eastAsia" w:ascii="宋体" w:hAnsi="宋体" w:eastAsia="宋体" w:cs="宋体"/>
          <w:szCs w:val="21"/>
        </w:rPr>
        <w:t>报告</w:t>
      </w:r>
      <w:r>
        <w:rPr>
          <w:rFonts w:hint="eastAsia" w:ascii="宋体" w:hAnsi="宋体" w:eastAsia="宋体" w:cs="宋体"/>
          <w:szCs w:val="21"/>
        </w:rPr>
        <w:fldChar w:fldCharType="end"/>
      </w:r>
      <w:r>
        <w:rPr>
          <w:rFonts w:hint="eastAsia" w:ascii="宋体" w:hAnsi="宋体" w:eastAsia="宋体" w:cs="宋体"/>
          <w:szCs w:val="21"/>
        </w:rPr>
        <w:t>招标人主管部门进行停梯修理。</w:t>
      </w:r>
    </w:p>
    <w:p w14:paraId="7E80F4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（5）电梯的周检查保养项目：</w:t>
      </w:r>
      <w:r>
        <w:rPr>
          <w:rFonts w:hint="eastAsia" w:ascii="宋体" w:hAnsi="宋体" w:eastAsia="宋体" w:cs="宋体"/>
          <w:szCs w:val="21"/>
          <w:highlight w:val="none"/>
        </w:rPr>
        <w:t>检查抱闸间隙,抱闸间隙应保证在0.7mm之内且均匀,间隙过大时应予以调整,紧固连接螺栓</w:t>
      </w:r>
      <w:r>
        <w:rPr>
          <w:rFonts w:hint="eastAsia" w:ascii="宋体" w:hAnsi="宋体" w:eastAsia="宋体" w:cs="宋体"/>
          <w:szCs w:val="21"/>
        </w:rPr>
        <w:t>。检查安全装置的工作情况,发现问题及时处理。检查调整电梯的平层装置。检查轿内按钮动作情况。检查轿内信号(指示器、蜂鸣器、对讲系统等)。检查轿门开关工作情况及完好性。检查轿内风扇及照明工作情况及完好性。检查曳引绳的工作情况及连接情况是否正常。包括但不限于以上周检内容及要求。如有不正常现象应立即停梯进行修理,调整或更换。暂时不能处理而又允许暂缓处理的应跟踪运行,观察其发展情况,防止发生事故，若发现严重现象应立即</w:t>
      </w:r>
      <w:r>
        <w:fldChar w:fldCharType="begin"/>
      </w:r>
      <w:r>
        <w:instrText xml:space="preserve"> HYPERLINK "http://www.fdcew.com/gw/List_202.html" \t "http://www.fdcew.com/hypx/zgc/_blank" </w:instrText>
      </w:r>
      <w:r>
        <w:fldChar w:fldCharType="separate"/>
      </w:r>
      <w:r>
        <w:rPr>
          <w:rFonts w:hint="eastAsia" w:ascii="宋体" w:hAnsi="宋体" w:eastAsia="宋体" w:cs="宋体"/>
          <w:szCs w:val="21"/>
        </w:rPr>
        <w:t>报告</w:t>
      </w:r>
      <w:r>
        <w:rPr>
          <w:rFonts w:hint="eastAsia" w:ascii="宋体" w:hAnsi="宋体" w:eastAsia="宋体" w:cs="宋体"/>
          <w:szCs w:val="21"/>
        </w:rPr>
        <w:fldChar w:fldCharType="end"/>
      </w:r>
      <w:r>
        <w:rPr>
          <w:rFonts w:hint="eastAsia" w:ascii="宋体" w:hAnsi="宋体" w:eastAsia="宋体" w:cs="宋体"/>
          <w:szCs w:val="21"/>
        </w:rPr>
        <w:t>招标人主管部门进行停梯修理。</w:t>
      </w:r>
    </w:p>
    <w:p w14:paraId="343477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6）电梯的月检查保养项目：对电梯减速器作一次仔细检查。对限速器作一次仔细检查。对安全钳作一次仔细检查。对缓冲器作一次仔细检查。对厅门锁作一次仔细检查。对自动门重新开启进行检查。对门的导轨进行检查清洗。对曳引机、电动机油位进行检查。检查接触器触头,衔铁是否良好。检查导向轮、反绳轮、选层器的润滑情况。对井道设施做一次检查。对各润滑系统进行一次检查。对各安全开关操作检查一次。包括但不限于以上月检内容及要求。如有不正常现象应立即停梯进行修理,调整或更换。暂时不能处理而又允许暂缓处理的应跟踪运行,观察其发展情况,防止发生事故，若发现严重现象应立即</w:t>
      </w:r>
      <w:r>
        <w:fldChar w:fldCharType="begin"/>
      </w:r>
      <w:r>
        <w:instrText xml:space="preserve"> HYPERLINK "http://www.fdcew.com/gw/List_202.html" \t "http://www.fdcew.com/hypx/zgc/_blank" </w:instrText>
      </w:r>
      <w:r>
        <w:fldChar w:fldCharType="separate"/>
      </w:r>
      <w:r>
        <w:rPr>
          <w:rFonts w:hint="eastAsia" w:ascii="宋体" w:hAnsi="宋体" w:eastAsia="宋体" w:cs="宋体"/>
          <w:szCs w:val="21"/>
        </w:rPr>
        <w:t>报告</w:t>
      </w:r>
      <w:r>
        <w:rPr>
          <w:rFonts w:hint="eastAsia" w:ascii="宋体" w:hAnsi="宋体" w:eastAsia="宋体" w:cs="宋体"/>
          <w:szCs w:val="21"/>
        </w:rPr>
        <w:fldChar w:fldCharType="end"/>
      </w:r>
      <w:r>
        <w:rPr>
          <w:rFonts w:hint="eastAsia" w:ascii="宋体" w:hAnsi="宋体" w:eastAsia="宋体" w:cs="宋体"/>
          <w:szCs w:val="21"/>
        </w:rPr>
        <w:t>招标人主管部门进行停梯修理。</w:t>
      </w:r>
    </w:p>
    <w:p w14:paraId="5BE42A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7）电梯的季检查保养项目：蜗轮蜗杆减速箱及电动机轴承是否有油。制动器动作是否正常,制动瓦与制动盘之间的间隙是否正常。曳引绳是否渗油,是否打滑。限速器钢丝绳,选层器钢带是否正常。继电器、接触器、选层器工作是否正常,触头是否清洁,固定是否牢固。检查门的操作、调节及清洁门驱动装置部件。清洁轿门、厅门地坎和门导轨。检查全部门滚轮与开门刀之间的间隙。调整全部厅门及附件。清洁全部厅门锁开关触点。检查补偿链是否完好。检查轿厢及对重导靴磨损情况。检查安全钳与导轨间隙。检查曳引绳的张力。检查轿厢操纵盘和各按钮的工作情况。检查轿厢紧急照明工作情况。检查自动门的重新开启是否正常。检查轿厢照明、信号、指示、蜂鸣器等功能是否正常。检查电梯启动、运行、减速和制停。检查电梯平层准确度。检查厅外呼梯按钮和指示器工作情况。电梯消防功能的检查。包括但不限于以上季检内容及要求。如有不正常现象应立即停梯进行修理,调整或更换。暂时不能处理而又允许暂缓处理的应跟踪运行,观察其发展情况,防止发生事故，若发现严重现象应立即</w:t>
      </w:r>
      <w:r>
        <w:fldChar w:fldCharType="begin"/>
      </w:r>
      <w:r>
        <w:instrText xml:space="preserve"> HYPERLINK "http://www.fdcew.com/gw/List_202.html" \t "http://www.fdcew.com/hypx/zgc/_blank" </w:instrText>
      </w:r>
      <w:r>
        <w:fldChar w:fldCharType="separate"/>
      </w:r>
      <w:r>
        <w:rPr>
          <w:rFonts w:hint="eastAsia" w:ascii="宋体" w:hAnsi="宋体" w:eastAsia="宋体" w:cs="宋体"/>
          <w:szCs w:val="21"/>
        </w:rPr>
        <w:t>报告</w:t>
      </w:r>
      <w:r>
        <w:rPr>
          <w:rFonts w:hint="eastAsia" w:ascii="宋体" w:hAnsi="宋体" w:eastAsia="宋体" w:cs="宋体"/>
          <w:szCs w:val="21"/>
        </w:rPr>
        <w:fldChar w:fldCharType="end"/>
      </w:r>
      <w:r>
        <w:rPr>
          <w:rFonts w:hint="eastAsia" w:ascii="宋体" w:hAnsi="宋体" w:eastAsia="宋体" w:cs="宋体"/>
          <w:szCs w:val="21"/>
        </w:rPr>
        <w:t>招标人主管部门进行停车修理。</w:t>
      </w:r>
    </w:p>
    <w:p w14:paraId="5B41E0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8）每月由维保单位的专业人员对所保养的电梯进行2次常规检查和例行保养，并形成记录，确保电梯安全正常运行；维保单位应对合同范围内的电梯认真做好半月维保，每季度进行一次“安全检查”及“负荷调整试验”，确保设备得到必要的检查、测试、调整和校验。“年度安全检查”结合政府部门的“年检”同时进行，每年配合医院制作应急预案并进行电梯应急演练1次。每次例行维护保养和维修必须有招标人管理人员在场监督执行，维保单位须客观认真填写《电梯保养及维修报告书》交招标人管理人员签字确认。</w:t>
      </w:r>
    </w:p>
    <w:p w14:paraId="095366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（9）中标人维保、维修及改造等相关工作中必须严格按照国家特种设备管理办法及地方标准执行。</w:t>
      </w:r>
    </w:p>
    <w:p w14:paraId="5F8345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（10）中标人在日常维护工作中必须严格按照国家电梯使用管理与维护保养规则及地方标准执行，作业过程中应服从招标人现场安全管理，严格落实现场安全防护措施，保证作业安全。</w:t>
      </w:r>
    </w:p>
    <w:p w14:paraId="4A17D7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（11）中标人实施日常维护保养后的电梯应当符合《电梯维修规范》、《电梯制造与安装安全规范》和《中华人民共和国特种设备安全法》的相关规定。</w:t>
      </w:r>
    </w:p>
    <w:p w14:paraId="0FB51F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（12）中标人对其维保电梯的安全性能负责。对承担维保的电梯是否符合国家安全技术规范要求进行确认，维保后的电梯应当符合相应的安全技术规范，并且保证所维保的电梯均处于安全正常运行状态。</w:t>
      </w:r>
    </w:p>
    <w:p w14:paraId="327DC5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
          <w:bCs/>
          <w:szCs w:val="21"/>
        </w:rPr>
      </w:pPr>
      <w:r>
        <w:rPr>
          <w:rFonts w:hint="eastAsia" w:ascii="宋体" w:hAnsi="宋体" w:eastAsia="宋体" w:cs="宋体"/>
          <w:b w:val="0"/>
          <w:bCs w:val="0"/>
          <w:szCs w:val="21"/>
        </w:rPr>
        <w:t>（13）中标人须提供2人维护保养人员有效的《特种设备作业人员证》复印件并加盖投标人公章。</w:t>
      </w:r>
    </w:p>
    <w:p w14:paraId="1E118F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14）中标人需提供24小时的应急响应服务，且能在接到招标人故障或事故报警后20分钟内到达现场，并能提供正常连续的服务直至故障或事故排除。对电梯困人事故要求在到达现场后20分钟内把乘客从轿厢中救出。对非电子板原因的常见事故要求在2小时内排除，对电子板原因的故障应在普遍认可的合理时间内解决。</w:t>
      </w:r>
    </w:p>
    <w:p w14:paraId="22CDB2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（15）招标人维护维修过程中，现场需采取停梯措施时，应及时通知招标人确认后实施。</w:t>
      </w:r>
    </w:p>
    <w:p w14:paraId="48533C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（16）中标人按规范整理电梯维保一梯一档资料，配合招标人接受上级主管部门随时抽查和定期检测工作。</w:t>
      </w:r>
    </w:p>
    <w:p w14:paraId="3C3747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17）维保人员必须持证上岗着工作服，自行配备工作所需的工具及设备，严格按照电梯规范的技术操作规程进行，保养维修时需设置现场安全警示标志，严禁短接线路进行维修及保养，电梯保养单位需随时听取招标人的反馈信息，对电梯不正常的运行状况做出认真分析及纠正，有事实证明或政府职能部门证明由于维护保养工作人员过失而造成的直接的可预见的延误、人身伤亡或经济损失，由维护保养单位承担全部责任。</w:t>
      </w:r>
    </w:p>
    <w:p w14:paraId="2FB782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18）中标人须保证所有电梯通过质量监督、特种设备等相关监管部门规定的定检、校验，并负责代办电梯的年度检验，所有年检及检验费用由中标人支付。中标人应按电梯监督检验和定期检验规则等规范要求按时间、频次、数量等落实电梯定期年检、限速器校验、125%制动试验等，并出具专业有效的检验合格报告给招标人存档备查。</w:t>
      </w:r>
    </w:p>
    <w:p w14:paraId="2E2202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（19）维修更换配件的要求：</w:t>
      </w:r>
    </w:p>
    <w:p w14:paraId="69BD8D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①中标人必须配齐常用配件，以备及时更换。因配件原因停梯时间不允许超2日历天，超一天向招标人支付违约金1000元，依次累加（因维保需要进行重大维修处理时可双方另行协商恢复时间）。如因配件更换导致停梯时间超过4日历天或已影响到招标人现场工作秩序，招标人有权请第三方单位予以维修更换，因此产生的所有费用从维保费内予以扣除。</w:t>
      </w:r>
    </w:p>
    <w:p w14:paraId="27EED8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highlight w:val="none"/>
        </w:rPr>
      </w:pPr>
      <w:r>
        <w:rPr>
          <w:rFonts w:hint="eastAsia" w:ascii="宋体" w:hAnsi="宋体" w:eastAsia="宋体" w:cs="宋体"/>
          <w:szCs w:val="21"/>
        </w:rPr>
        <w:t>②中标人提供的电梯更换配件必须是原厂生产的、全新的、未使用过的合格产品，达到电梯设备要求的性能规格，所有更换</w:t>
      </w:r>
      <w:r>
        <w:rPr>
          <w:rFonts w:hint="eastAsia" w:ascii="宋体" w:hAnsi="宋体" w:eastAsia="宋体" w:cs="宋体"/>
          <w:szCs w:val="21"/>
          <w:highlight w:val="none"/>
        </w:rPr>
        <w:t>配件需提供检验合格证书或其他必须的证明文件交予招标人验收。</w:t>
      </w:r>
    </w:p>
    <w:p w14:paraId="11064B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highlight w:val="none"/>
        </w:rPr>
      </w:pPr>
      <w:r>
        <w:rPr>
          <w:rFonts w:hint="eastAsia" w:ascii="宋体" w:hAnsi="宋体" w:eastAsia="宋体" w:cs="宋体"/>
          <w:szCs w:val="21"/>
          <w:highlight w:val="none"/>
        </w:rPr>
        <w:t>③由于配件货源供货渠道问题造成的损失，由中标人自行承担。</w:t>
      </w:r>
    </w:p>
    <w:p w14:paraId="397E05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highlight w:val="none"/>
        </w:rPr>
      </w:pPr>
      <w:r>
        <w:rPr>
          <w:rFonts w:hint="eastAsia" w:ascii="宋体" w:hAnsi="宋体" w:eastAsia="宋体" w:cs="宋体"/>
          <w:szCs w:val="21"/>
          <w:highlight w:val="none"/>
        </w:rPr>
        <w:t>④对更换下来的配件应由招标人保管或由招标人与中标人共同销毁。</w:t>
      </w:r>
    </w:p>
    <w:p w14:paraId="32AD07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highlight w:val="none"/>
        </w:rPr>
        <w:t>（20）对维保服务的监督</w:t>
      </w:r>
      <w:r>
        <w:rPr>
          <w:rFonts w:hint="eastAsia" w:ascii="宋体" w:hAnsi="宋体" w:eastAsia="宋体" w:cs="宋体"/>
          <w:szCs w:val="21"/>
        </w:rPr>
        <w:t>与整改：</w:t>
      </w:r>
    </w:p>
    <w:p w14:paraId="330D6B4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eastAsia="宋体" w:cs="宋体"/>
          <w:b/>
          <w:bCs/>
          <w:kern w:val="0"/>
          <w:szCs w:val="21"/>
        </w:rPr>
      </w:pPr>
      <w:r>
        <w:rPr>
          <w:rFonts w:hint="eastAsia" w:ascii="宋体" w:hAnsi="宋体" w:eastAsia="宋体" w:cs="宋体"/>
          <w:b/>
          <w:bCs/>
          <w:kern w:val="0"/>
          <w:szCs w:val="21"/>
        </w:rPr>
        <w:t>①中标人在维保服务期间因维保不当等原因导致的安全责任均由中标人负责，包括由于电梯故障及损坏造成乘梯人员伤亡或财产损失等，由中标人承担所有的法律责任及由此产生的所有费用。</w:t>
      </w:r>
    </w:p>
    <w:p w14:paraId="24D8F8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②中标人应随时听取招标人的反馈，对不正常情况做到认真分析纠正，年检前1个月进行自检，配合特种设备安全监督管理部门对电梯年检，因维护保养原因导致电梯年检不合格的，由中标人进行整改完成并承担复检费用。</w:t>
      </w:r>
    </w:p>
    <w:p w14:paraId="32C611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③如因中标人维修不及时或因技术问题导致电梯连续出现故障或在维保期间出现重大安全事故，招标人有权请第三方介入维修并单方面中止合同，扣除保证金及剩余维保款，中标人应承担由此造成的所有责任，包括经济及法律责任。</w:t>
      </w:r>
    </w:p>
    <w:p w14:paraId="738DAE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④中标人负责与前期和后期中标人的交接工作，与后期中标人维保交接时必须保证所有电梯运行正常，并交接清楚，否则扣除履约保证金。</w:t>
      </w:r>
    </w:p>
    <w:p w14:paraId="1D5A5C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 xml:space="preserve">⑤招标人维保过程中发现任何问题，招标人有权在包括但不限于本招标文件中规定的相关情况或维保服务缺陷予以监管扣款，视情况每次予以500元及以上罚款。 </w:t>
      </w:r>
    </w:p>
    <w:p w14:paraId="2E8AFF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⑥招标人现场督查或行业主管部门检查过程中，出现相关不合格以及需整改的问题，招标人有权扣除1%及以上的年度服务费用，并视情节轻重追究相关责任。任一年度出现三次以上的，招标人有权按上述内容扣除相关服务费用后，并有权提前与中标人解除合同。因中标人原因导致招标人被行业主管部门通报甚至处罚或出现其他具有恶劣影响情形以及安全事故的，招标人有权在追究中标人责任后与中标人提前解除合同。</w:t>
      </w:r>
    </w:p>
    <w:p w14:paraId="2575A6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kern w:val="0"/>
          <w:sz w:val="24"/>
          <w:szCs w:val="24"/>
        </w:rPr>
      </w:pPr>
      <w:r>
        <w:rPr>
          <w:rFonts w:hint="eastAsia" w:ascii="宋体" w:hAnsi="宋体" w:eastAsia="宋体" w:cs="宋体"/>
          <w:szCs w:val="21"/>
        </w:rPr>
        <w:t>（21）电梯维保单位需购买电梯商业责任险。</w:t>
      </w:r>
    </w:p>
    <w:p w14:paraId="2D8B0FC2">
      <w:pPr>
        <w:keepNext w:val="0"/>
        <w:keepLines w:val="0"/>
        <w:pageBreakBefore w:val="0"/>
        <w:widowControl w:val="0"/>
        <w:kinsoku/>
        <w:wordWrap/>
        <w:overflowPunct/>
        <w:topLinePunct w:val="0"/>
        <w:autoSpaceDE/>
        <w:autoSpaceDN/>
        <w:bidi w:val="0"/>
        <w:adjustRightInd/>
        <w:snapToGrid/>
        <w:spacing w:line="360" w:lineRule="auto"/>
        <w:ind w:left="-13" w:leftChars="-6" w:firstLine="420" w:firstLineChars="200"/>
        <w:jc w:val="left"/>
        <w:textAlignment w:val="auto"/>
        <w:outlineLvl w:val="0"/>
        <w:rPr>
          <w:rFonts w:ascii="宋体" w:hAnsi="宋体" w:eastAsia="宋体" w:cs="宋体"/>
          <w:b/>
          <w:bCs/>
          <w:color w:val="000000"/>
          <w:kern w:val="44"/>
          <w:szCs w:val="21"/>
        </w:rPr>
      </w:pPr>
      <w:r>
        <w:rPr>
          <w:rFonts w:hint="eastAsia" w:ascii="宋体" w:hAnsi="宋体" w:cs="宋体"/>
          <w:b w:val="0"/>
          <w:bCs w:val="0"/>
          <w:color w:val="000000"/>
          <w:kern w:val="44"/>
          <w:szCs w:val="21"/>
          <w:lang w:val="en-US" w:eastAsia="zh-CN"/>
        </w:rPr>
        <w:t>4</w:t>
      </w:r>
      <w:r>
        <w:rPr>
          <w:rFonts w:hint="eastAsia" w:ascii="宋体" w:hAnsi="宋体" w:eastAsia="宋体" w:cs="宋体"/>
          <w:b w:val="0"/>
          <w:bCs w:val="0"/>
          <w:color w:val="000000"/>
          <w:kern w:val="44"/>
          <w:szCs w:val="21"/>
          <w:lang w:val="en-US" w:eastAsia="zh-CN"/>
        </w:rPr>
        <w:t>.</w:t>
      </w:r>
      <w:r>
        <w:rPr>
          <w:rFonts w:hint="eastAsia" w:ascii="宋体" w:hAnsi="宋体" w:cs="宋体"/>
          <w:b w:val="0"/>
          <w:bCs w:val="0"/>
          <w:color w:val="000000"/>
          <w:kern w:val="44"/>
          <w:szCs w:val="21"/>
          <w:lang w:eastAsia="zh-CN"/>
        </w:rPr>
        <w:t>报价</w:t>
      </w:r>
      <w:r>
        <w:rPr>
          <w:rFonts w:hint="eastAsia" w:ascii="宋体" w:hAnsi="宋体" w:eastAsia="宋体" w:cs="宋体"/>
          <w:b w:val="0"/>
          <w:bCs w:val="0"/>
          <w:color w:val="000000"/>
          <w:kern w:val="44"/>
          <w:szCs w:val="21"/>
        </w:rPr>
        <w:t>要求</w:t>
      </w:r>
    </w:p>
    <w:p w14:paraId="5D1E3D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该项目报价为全包维保总报价，含所有设备维保、维修、更换配件材料费、人工费、安全措施费、培训及技术指导费、税金、安全管理、检验校验等所有费用。</w:t>
      </w:r>
    </w:p>
    <w:p w14:paraId="1135F7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yellow"/>
          <w:lang w:val="en-US" w:eastAsia="zh-CN"/>
        </w:rPr>
      </w:pPr>
      <w:r>
        <w:rPr>
          <w:rFonts w:hint="eastAsia" w:ascii="宋体" w:hAnsi="宋体" w:cs="宋体"/>
          <w:szCs w:val="21"/>
          <w:highlight w:val="yellow"/>
          <w:lang w:val="en-US" w:eastAsia="zh-CN"/>
        </w:rPr>
        <w:t>5.考核内容：详见附件《电梯维保服务质量考核表》。</w:t>
      </w:r>
    </w:p>
    <w:p w14:paraId="37EDED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yellow"/>
          <w:lang w:eastAsia="zh-CN"/>
        </w:rPr>
        <w:sectPr>
          <w:headerReference r:id="rId3" w:type="default"/>
          <w:pgSz w:w="11906" w:h="16838"/>
          <w:pgMar w:top="1417" w:right="1417" w:bottom="1417" w:left="1417" w:header="680" w:footer="680" w:gutter="0"/>
          <w:pgNumType w:fmt="decimal"/>
          <w:cols w:space="720" w:num="1"/>
          <w:docGrid w:type="lines" w:linePitch="312" w:charSpace="0"/>
        </w:sectPr>
      </w:pPr>
      <w:r>
        <w:rPr>
          <w:rFonts w:hint="eastAsia" w:ascii="宋体" w:hAnsi="宋体" w:cs="宋体"/>
          <w:szCs w:val="21"/>
          <w:highlight w:val="yellow"/>
          <w:lang w:val="en-US" w:eastAsia="zh-CN"/>
        </w:rPr>
        <w:t>6.付款方式：本项目按月考核，每季度根据考核结果支付当季合同价款。</w:t>
      </w:r>
    </w:p>
    <w:p w14:paraId="5E84BA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附件：</w:t>
      </w:r>
    </w:p>
    <w:tbl>
      <w:tblPr>
        <w:tblStyle w:val="28"/>
        <w:tblpPr w:leftFromText="180" w:rightFromText="180" w:vertAnchor="text" w:horzAnchor="page" w:tblpXSpec="center" w:tblpY="-959"/>
        <w:tblOverlap w:val="never"/>
        <w:tblW w:w="9184" w:type="dxa"/>
        <w:jc w:val="center"/>
        <w:tblLayout w:type="fixed"/>
        <w:tblCellMar>
          <w:top w:w="0" w:type="dxa"/>
          <w:left w:w="108" w:type="dxa"/>
          <w:bottom w:w="0" w:type="dxa"/>
          <w:right w:w="108" w:type="dxa"/>
        </w:tblCellMar>
      </w:tblPr>
      <w:tblGrid>
        <w:gridCol w:w="640"/>
        <w:gridCol w:w="507"/>
        <w:gridCol w:w="6093"/>
        <w:gridCol w:w="600"/>
        <w:gridCol w:w="669"/>
        <w:gridCol w:w="675"/>
      </w:tblGrid>
      <w:tr w14:paraId="46C4C340">
        <w:tblPrEx>
          <w:tblCellMar>
            <w:top w:w="0" w:type="dxa"/>
            <w:left w:w="108" w:type="dxa"/>
            <w:bottom w:w="0" w:type="dxa"/>
            <w:right w:w="108" w:type="dxa"/>
          </w:tblCellMar>
        </w:tblPrEx>
        <w:trPr>
          <w:trHeight w:val="540" w:hRule="atLeast"/>
          <w:jc w:val="center"/>
        </w:trPr>
        <w:tc>
          <w:tcPr>
            <w:tcW w:w="9184" w:type="dxa"/>
            <w:gridSpan w:val="6"/>
            <w:tcBorders>
              <w:top w:val="nil"/>
              <w:left w:val="nil"/>
              <w:bottom w:val="nil"/>
              <w:right w:val="nil"/>
            </w:tcBorders>
            <w:shd w:val="clear" w:color="auto" w:fill="auto"/>
            <w:noWrap/>
            <w:vAlign w:val="center"/>
          </w:tcPr>
          <w:p w14:paraId="59FC7FEE">
            <w:pPr>
              <w:jc w:val="center"/>
              <w:rPr>
                <w:rFonts w:ascii="等线" w:hAnsi="等线" w:eastAsia="等线" w:cs="Times New Roman"/>
                <w:b/>
                <w:bCs/>
                <w:sz w:val="24"/>
                <w:szCs w:val="28"/>
              </w:rPr>
            </w:pPr>
            <w:bookmarkStart w:id="0" w:name="_GoBack"/>
            <w:r>
              <w:rPr>
                <w:rFonts w:hint="eastAsia" w:ascii="等线" w:hAnsi="等线" w:eastAsia="等线" w:cs="Times New Roman"/>
                <w:b/>
                <w:bCs/>
                <w:sz w:val="24"/>
                <w:szCs w:val="28"/>
              </w:rPr>
              <w:t>电梯维保服务质量考核表</w:t>
            </w:r>
          </w:p>
        </w:tc>
      </w:tr>
      <w:tr w14:paraId="310C7DE9">
        <w:tblPrEx>
          <w:tblCellMar>
            <w:top w:w="0" w:type="dxa"/>
            <w:left w:w="108" w:type="dxa"/>
            <w:bottom w:w="0" w:type="dxa"/>
            <w:right w:w="108" w:type="dxa"/>
          </w:tblCellMar>
        </w:tblPrEx>
        <w:trPr>
          <w:trHeight w:val="625"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3669">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0A8D">
            <w:pPr>
              <w:rPr>
                <w:rFonts w:ascii="等线" w:hAnsi="等线" w:eastAsia="等线" w:cs="Times New Roman"/>
                <w:sz w:val="20"/>
                <w:szCs w:val="21"/>
              </w:rPr>
            </w:pPr>
            <w:r>
              <w:rPr>
                <w:rFonts w:hint="eastAsia" w:ascii="等线" w:hAnsi="等线" w:eastAsia="等线" w:cs="Times New Roman"/>
                <w:sz w:val="20"/>
                <w:szCs w:val="21"/>
              </w:rPr>
              <w:t>序号</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83BD">
            <w:pPr>
              <w:jc w:val="center"/>
              <w:rPr>
                <w:rFonts w:ascii="等线" w:hAnsi="等线" w:eastAsia="等线" w:cs="Times New Roman"/>
                <w:sz w:val="20"/>
                <w:szCs w:val="21"/>
              </w:rPr>
            </w:pPr>
            <w:r>
              <w:rPr>
                <w:rFonts w:hint="eastAsia" w:ascii="等线" w:hAnsi="等线" w:eastAsia="等线" w:cs="Times New Roman"/>
                <w:sz w:val="20"/>
                <w:szCs w:val="21"/>
              </w:rPr>
              <w:t>考核内容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AC32">
            <w:pPr>
              <w:rPr>
                <w:rFonts w:ascii="等线" w:hAnsi="等线" w:eastAsia="等线" w:cs="Times New Roman"/>
                <w:sz w:val="20"/>
                <w:szCs w:val="21"/>
              </w:rPr>
            </w:pPr>
            <w:r>
              <w:rPr>
                <w:rFonts w:hint="eastAsia" w:ascii="等线" w:hAnsi="等线" w:eastAsia="等线" w:cs="Times New Roman"/>
                <w:sz w:val="20"/>
                <w:szCs w:val="21"/>
              </w:rPr>
              <w:t>分值</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DF65">
            <w:pPr>
              <w:rPr>
                <w:rFonts w:ascii="等线" w:hAnsi="等线" w:eastAsia="等线" w:cs="Times New Roman"/>
                <w:sz w:val="20"/>
                <w:szCs w:val="21"/>
              </w:rPr>
            </w:pPr>
            <w:r>
              <w:rPr>
                <w:rFonts w:hint="eastAsia" w:ascii="等线" w:hAnsi="等线" w:eastAsia="等线" w:cs="Times New Roman"/>
                <w:sz w:val="20"/>
                <w:szCs w:val="21"/>
              </w:rPr>
              <w:t>实得分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E873">
            <w:pPr>
              <w:rPr>
                <w:rFonts w:ascii="等线" w:hAnsi="等线" w:eastAsia="等线" w:cs="Times New Roman"/>
                <w:sz w:val="20"/>
                <w:szCs w:val="21"/>
              </w:rPr>
            </w:pPr>
            <w:r>
              <w:rPr>
                <w:rFonts w:hint="eastAsia" w:ascii="等线" w:hAnsi="等线" w:eastAsia="等线" w:cs="Times New Roman"/>
                <w:sz w:val="20"/>
                <w:szCs w:val="21"/>
              </w:rPr>
              <w:t>扣分原因</w:t>
            </w:r>
          </w:p>
        </w:tc>
      </w:tr>
      <w:tr w14:paraId="23653F89">
        <w:tblPrEx>
          <w:tblCellMar>
            <w:top w:w="0" w:type="dxa"/>
            <w:left w:w="108" w:type="dxa"/>
            <w:bottom w:w="0" w:type="dxa"/>
            <w:right w:w="108" w:type="dxa"/>
          </w:tblCellMar>
        </w:tblPrEx>
        <w:trPr>
          <w:trHeight w:val="570"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7307B">
            <w:pPr>
              <w:rPr>
                <w:rFonts w:ascii="等线" w:hAnsi="等线" w:eastAsia="等线" w:cs="Times New Roman"/>
                <w:sz w:val="20"/>
                <w:szCs w:val="21"/>
              </w:rPr>
            </w:pPr>
            <w:r>
              <w:rPr>
                <w:rFonts w:hint="eastAsia" w:ascii="等线" w:hAnsi="等线" w:eastAsia="等线" w:cs="Times New Roman"/>
                <w:sz w:val="20"/>
                <w:szCs w:val="21"/>
              </w:rPr>
              <w:t>服务质量</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BA8D">
            <w:pPr>
              <w:jc w:val="center"/>
              <w:rPr>
                <w:rFonts w:ascii="等线" w:hAnsi="等线" w:eastAsia="等线" w:cs="Times New Roman"/>
                <w:sz w:val="20"/>
                <w:szCs w:val="21"/>
              </w:rPr>
            </w:pPr>
            <w:r>
              <w:rPr>
                <w:rFonts w:hint="eastAsia" w:ascii="等线" w:hAnsi="等线" w:eastAsia="等线" w:cs="Times New Roman"/>
                <w:sz w:val="20"/>
                <w:szCs w:val="21"/>
              </w:rPr>
              <w:t>1</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5ADB">
            <w:pPr>
              <w:rPr>
                <w:rFonts w:ascii="等线" w:hAnsi="等线" w:eastAsia="等线" w:cs="Times New Roman"/>
                <w:sz w:val="20"/>
                <w:szCs w:val="21"/>
              </w:rPr>
            </w:pPr>
            <w:r>
              <w:rPr>
                <w:rFonts w:hint="eastAsia" w:ascii="等线" w:hAnsi="等线" w:eastAsia="等线" w:cs="Times New Roman"/>
                <w:sz w:val="20"/>
                <w:szCs w:val="21"/>
              </w:rPr>
              <w:t>乙方具有相应资质，所维保的电梯应符合安全技术规范、强制性标准和电梯制造单位的技术要求；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8722">
            <w:pPr>
              <w:jc w:val="center"/>
              <w:rPr>
                <w:rFonts w:ascii="等线" w:hAnsi="等线" w:eastAsia="等线" w:cs="Times New Roman"/>
                <w:sz w:val="20"/>
                <w:szCs w:val="21"/>
              </w:rPr>
            </w:pPr>
            <w:r>
              <w:rPr>
                <w:rFonts w:hint="eastAsia" w:ascii="等线" w:hAnsi="等线" w:eastAsia="等线" w:cs="Times New Roman"/>
                <w:sz w:val="20"/>
                <w:szCs w:val="21"/>
              </w:rPr>
              <w:t>8</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FBB2">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950F">
            <w:pPr>
              <w:rPr>
                <w:rFonts w:ascii="等线" w:hAnsi="等线" w:eastAsia="等线" w:cs="Times New Roman"/>
                <w:sz w:val="20"/>
                <w:szCs w:val="21"/>
              </w:rPr>
            </w:pPr>
          </w:p>
        </w:tc>
      </w:tr>
      <w:tr w14:paraId="0D76FB69">
        <w:tblPrEx>
          <w:tblCellMar>
            <w:top w:w="0" w:type="dxa"/>
            <w:left w:w="108" w:type="dxa"/>
            <w:bottom w:w="0" w:type="dxa"/>
            <w:right w:w="108" w:type="dxa"/>
          </w:tblCellMar>
        </w:tblPrEx>
        <w:trPr>
          <w:trHeight w:val="60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33180">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E752">
            <w:pPr>
              <w:jc w:val="center"/>
              <w:rPr>
                <w:rFonts w:ascii="等线" w:hAnsi="等线" w:eastAsia="等线" w:cs="Times New Roman"/>
                <w:sz w:val="20"/>
                <w:szCs w:val="21"/>
              </w:rPr>
            </w:pPr>
            <w:r>
              <w:rPr>
                <w:rFonts w:hint="eastAsia" w:ascii="等线" w:hAnsi="等线" w:eastAsia="等线" w:cs="Times New Roman"/>
                <w:sz w:val="20"/>
                <w:szCs w:val="21"/>
              </w:rPr>
              <w:t>2</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1D51">
            <w:pPr>
              <w:rPr>
                <w:rFonts w:ascii="等线" w:hAnsi="等线" w:eastAsia="等线" w:cs="Times New Roman"/>
                <w:sz w:val="20"/>
                <w:szCs w:val="21"/>
              </w:rPr>
            </w:pPr>
            <w:r>
              <w:rPr>
                <w:rFonts w:hint="eastAsia" w:ascii="等线" w:hAnsi="等线" w:eastAsia="等线" w:cs="Times New Roman"/>
                <w:sz w:val="20"/>
                <w:szCs w:val="21"/>
              </w:rPr>
              <w:t>乙方作业人员应当取得相应的《特种设备作业人员证》，并安排熟悉所维保电梯结构、性能、安全要求的作业人员负责维保工作，并督促其严格按照产品工艺要求、安全及技术规范进行维保；</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6EE2">
            <w:pPr>
              <w:jc w:val="center"/>
              <w:rPr>
                <w:rFonts w:ascii="等线" w:hAnsi="等线" w:eastAsia="等线" w:cs="Times New Roman"/>
                <w:sz w:val="20"/>
                <w:szCs w:val="21"/>
              </w:rPr>
            </w:pPr>
            <w:r>
              <w:rPr>
                <w:rFonts w:hint="eastAsia" w:ascii="等线" w:hAnsi="等线" w:eastAsia="等线" w:cs="Times New Roman"/>
                <w:sz w:val="20"/>
                <w:szCs w:val="21"/>
              </w:rPr>
              <w:t>7</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D8BA">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1E87">
            <w:pPr>
              <w:rPr>
                <w:rFonts w:ascii="等线" w:hAnsi="等线" w:eastAsia="等线" w:cs="Times New Roman"/>
                <w:sz w:val="20"/>
                <w:szCs w:val="21"/>
              </w:rPr>
            </w:pPr>
          </w:p>
        </w:tc>
      </w:tr>
      <w:tr w14:paraId="5C8C3A68">
        <w:tblPrEx>
          <w:tblCellMar>
            <w:top w:w="0" w:type="dxa"/>
            <w:left w:w="108" w:type="dxa"/>
            <w:bottom w:w="0" w:type="dxa"/>
            <w:right w:w="108" w:type="dxa"/>
          </w:tblCellMar>
        </w:tblPrEx>
        <w:trPr>
          <w:trHeight w:val="305"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7A0DF">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478D">
            <w:pPr>
              <w:jc w:val="center"/>
              <w:rPr>
                <w:rFonts w:ascii="等线" w:hAnsi="等线" w:eastAsia="等线" w:cs="Times New Roman"/>
                <w:sz w:val="20"/>
                <w:szCs w:val="21"/>
              </w:rPr>
            </w:pPr>
            <w:r>
              <w:rPr>
                <w:rFonts w:hint="eastAsia" w:ascii="等线" w:hAnsi="等线" w:eastAsia="等线" w:cs="Times New Roman"/>
                <w:sz w:val="20"/>
                <w:szCs w:val="21"/>
              </w:rPr>
              <w:t>3</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E370">
            <w:pPr>
              <w:rPr>
                <w:rFonts w:ascii="等线" w:hAnsi="等线" w:eastAsia="等线" w:cs="Times New Roman"/>
                <w:sz w:val="20"/>
                <w:szCs w:val="21"/>
              </w:rPr>
            </w:pPr>
            <w:r>
              <w:rPr>
                <w:rFonts w:hint="eastAsia" w:ascii="等线" w:hAnsi="等线" w:eastAsia="等线" w:cs="Times New Roman"/>
                <w:sz w:val="20"/>
                <w:szCs w:val="21"/>
              </w:rPr>
              <w:t>乙方应在当地特种设备监察部门备案，检验业务应在许可资质范围内；</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F2CA">
            <w:pPr>
              <w:jc w:val="center"/>
              <w:rPr>
                <w:rFonts w:ascii="等线" w:hAnsi="等线" w:eastAsia="等线" w:cs="Times New Roman"/>
                <w:sz w:val="20"/>
                <w:szCs w:val="21"/>
              </w:rPr>
            </w:pPr>
            <w:r>
              <w:rPr>
                <w:rFonts w:hint="eastAsia" w:ascii="等线" w:hAnsi="等线" w:eastAsia="等线" w:cs="Times New Roman"/>
                <w:sz w:val="20"/>
                <w:szCs w:val="21"/>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0494">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6965">
            <w:pPr>
              <w:rPr>
                <w:rFonts w:ascii="等线" w:hAnsi="等线" w:eastAsia="等线" w:cs="Times New Roman"/>
                <w:sz w:val="20"/>
                <w:szCs w:val="21"/>
              </w:rPr>
            </w:pPr>
          </w:p>
        </w:tc>
      </w:tr>
      <w:tr w14:paraId="0F30E831">
        <w:tblPrEx>
          <w:tblCellMar>
            <w:top w:w="0" w:type="dxa"/>
            <w:left w:w="108" w:type="dxa"/>
            <w:bottom w:w="0" w:type="dxa"/>
            <w:right w:w="108" w:type="dxa"/>
          </w:tblCellMar>
        </w:tblPrEx>
        <w:trPr>
          <w:trHeight w:val="305"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98538">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7C3A">
            <w:pPr>
              <w:jc w:val="center"/>
              <w:rPr>
                <w:rFonts w:ascii="等线" w:hAnsi="等线" w:eastAsia="等线" w:cs="Times New Roman"/>
                <w:sz w:val="20"/>
                <w:szCs w:val="21"/>
              </w:rPr>
            </w:pPr>
            <w:r>
              <w:rPr>
                <w:rFonts w:hint="eastAsia" w:ascii="等线" w:hAnsi="等线" w:eastAsia="等线" w:cs="Times New Roman"/>
                <w:sz w:val="20"/>
                <w:szCs w:val="21"/>
              </w:rPr>
              <w:t>4</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9077">
            <w:pPr>
              <w:rPr>
                <w:rFonts w:ascii="等线" w:hAnsi="等线" w:eastAsia="等线" w:cs="Times New Roman"/>
                <w:sz w:val="20"/>
                <w:szCs w:val="21"/>
              </w:rPr>
            </w:pPr>
            <w:r>
              <w:rPr>
                <w:rFonts w:hint="eastAsia" w:ascii="等线" w:hAnsi="等线" w:eastAsia="等线" w:cs="Times New Roman"/>
                <w:sz w:val="20"/>
                <w:szCs w:val="21"/>
              </w:rPr>
              <w:t>维保公司制定健全的《电梯事故应急预案》，并有演练记录；</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0570">
            <w:pPr>
              <w:jc w:val="center"/>
              <w:rPr>
                <w:rFonts w:ascii="等线" w:hAnsi="等线" w:eastAsia="等线" w:cs="Times New Roman"/>
                <w:sz w:val="20"/>
                <w:szCs w:val="21"/>
              </w:rPr>
            </w:pPr>
            <w:r>
              <w:rPr>
                <w:rFonts w:hint="eastAsia" w:ascii="等线" w:hAnsi="等线" w:eastAsia="等线" w:cs="Times New Roman"/>
                <w:sz w:val="20"/>
                <w:szCs w:val="21"/>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7C38">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44B7">
            <w:pPr>
              <w:rPr>
                <w:rFonts w:ascii="等线" w:hAnsi="等线" w:eastAsia="等线" w:cs="Times New Roman"/>
                <w:sz w:val="20"/>
                <w:szCs w:val="21"/>
              </w:rPr>
            </w:pPr>
          </w:p>
        </w:tc>
      </w:tr>
      <w:tr w14:paraId="7AA8F6A1">
        <w:tblPrEx>
          <w:tblCellMar>
            <w:top w:w="0" w:type="dxa"/>
            <w:left w:w="108" w:type="dxa"/>
            <w:bottom w:w="0" w:type="dxa"/>
            <w:right w:w="108" w:type="dxa"/>
          </w:tblCellMar>
        </w:tblPrEx>
        <w:trPr>
          <w:trHeight w:val="305"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84CC2">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87B8">
            <w:pPr>
              <w:jc w:val="center"/>
              <w:rPr>
                <w:rFonts w:ascii="等线" w:hAnsi="等线" w:eastAsia="等线" w:cs="Times New Roman"/>
                <w:sz w:val="20"/>
                <w:szCs w:val="21"/>
              </w:rPr>
            </w:pPr>
            <w:r>
              <w:rPr>
                <w:rFonts w:hint="eastAsia" w:ascii="等线" w:hAnsi="等线" w:eastAsia="等线" w:cs="Times New Roman"/>
                <w:sz w:val="20"/>
                <w:szCs w:val="21"/>
              </w:rPr>
              <w:t>5</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5E21">
            <w:pPr>
              <w:rPr>
                <w:rFonts w:ascii="等线" w:hAnsi="等线" w:eastAsia="等线" w:cs="Times New Roman"/>
                <w:sz w:val="20"/>
                <w:szCs w:val="21"/>
              </w:rPr>
            </w:pPr>
            <w:r>
              <w:rPr>
                <w:rFonts w:hint="eastAsia" w:ascii="等线" w:hAnsi="等线" w:eastAsia="等线" w:cs="Times New Roman"/>
                <w:sz w:val="20"/>
                <w:szCs w:val="21"/>
              </w:rPr>
              <w:t>乙方是否按期进行电梯日常维护保养日常管理，是否及时上报医院相关管理部门；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1259">
            <w:pPr>
              <w:jc w:val="center"/>
              <w:rPr>
                <w:rFonts w:ascii="等线" w:hAnsi="等线" w:eastAsia="等线" w:cs="Times New Roman"/>
                <w:sz w:val="20"/>
                <w:szCs w:val="21"/>
              </w:rPr>
            </w:pPr>
            <w:r>
              <w:rPr>
                <w:rFonts w:hint="eastAsia" w:ascii="等线" w:hAnsi="等线" w:eastAsia="等线" w:cs="Times New Roman"/>
                <w:sz w:val="20"/>
                <w:szCs w:val="21"/>
              </w:rPr>
              <w:t>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ABA2">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54BE">
            <w:pPr>
              <w:rPr>
                <w:rFonts w:ascii="等线" w:hAnsi="等线" w:eastAsia="等线" w:cs="Times New Roman"/>
                <w:sz w:val="20"/>
                <w:szCs w:val="21"/>
              </w:rPr>
            </w:pPr>
          </w:p>
        </w:tc>
      </w:tr>
      <w:tr w14:paraId="5B4FD4E1">
        <w:tblPrEx>
          <w:tblCellMar>
            <w:top w:w="0" w:type="dxa"/>
            <w:left w:w="108" w:type="dxa"/>
            <w:bottom w:w="0" w:type="dxa"/>
            <w:right w:w="108" w:type="dxa"/>
          </w:tblCellMar>
        </w:tblPrEx>
        <w:trPr>
          <w:trHeight w:val="305"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A7733">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AAFC">
            <w:pPr>
              <w:jc w:val="center"/>
              <w:rPr>
                <w:rFonts w:ascii="等线" w:hAnsi="等线" w:eastAsia="等线" w:cs="Times New Roman"/>
                <w:sz w:val="20"/>
                <w:szCs w:val="21"/>
              </w:rPr>
            </w:pPr>
            <w:r>
              <w:rPr>
                <w:rFonts w:hint="eastAsia" w:ascii="等线" w:hAnsi="等线" w:eastAsia="等线" w:cs="Times New Roman"/>
                <w:sz w:val="20"/>
                <w:szCs w:val="21"/>
              </w:rPr>
              <w:t>6</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35A6">
            <w:pPr>
              <w:rPr>
                <w:rFonts w:ascii="等线" w:hAnsi="等线" w:eastAsia="等线" w:cs="Times New Roman"/>
                <w:sz w:val="20"/>
                <w:szCs w:val="21"/>
              </w:rPr>
            </w:pPr>
            <w:r>
              <w:rPr>
                <w:rFonts w:hint="eastAsia" w:ascii="等线" w:hAnsi="等线" w:eastAsia="等线" w:cs="Times New Roman"/>
                <w:sz w:val="20"/>
                <w:szCs w:val="21"/>
              </w:rPr>
              <w:t>电梯轿厢内应设置报警装置，且固定可靠、保持畅通；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12AC">
            <w:pPr>
              <w:jc w:val="center"/>
              <w:rPr>
                <w:rFonts w:ascii="等线" w:hAnsi="等线" w:eastAsia="等线" w:cs="Times New Roman"/>
                <w:sz w:val="20"/>
                <w:szCs w:val="21"/>
              </w:rPr>
            </w:pPr>
            <w:r>
              <w:rPr>
                <w:rFonts w:hint="eastAsia" w:ascii="等线" w:hAnsi="等线" w:eastAsia="等线" w:cs="Times New Roman"/>
                <w:sz w:val="20"/>
                <w:szCs w:val="21"/>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2395">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CF77">
            <w:pPr>
              <w:rPr>
                <w:rFonts w:ascii="等线" w:hAnsi="等线" w:eastAsia="等线" w:cs="Times New Roman"/>
                <w:sz w:val="20"/>
                <w:szCs w:val="21"/>
              </w:rPr>
            </w:pPr>
          </w:p>
        </w:tc>
      </w:tr>
      <w:tr w14:paraId="3CC0CE4F">
        <w:tblPrEx>
          <w:tblCellMar>
            <w:top w:w="0" w:type="dxa"/>
            <w:left w:w="108" w:type="dxa"/>
            <w:bottom w:w="0" w:type="dxa"/>
            <w:right w:w="108" w:type="dxa"/>
          </w:tblCellMar>
        </w:tblPrEx>
        <w:trPr>
          <w:trHeight w:val="305"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6B4F9">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8A40">
            <w:pPr>
              <w:jc w:val="center"/>
              <w:rPr>
                <w:rFonts w:ascii="等线" w:hAnsi="等线" w:eastAsia="等线" w:cs="Times New Roman"/>
                <w:sz w:val="20"/>
                <w:szCs w:val="21"/>
              </w:rPr>
            </w:pPr>
            <w:r>
              <w:rPr>
                <w:rFonts w:hint="eastAsia" w:ascii="等线" w:hAnsi="等线" w:eastAsia="等线" w:cs="Times New Roman"/>
                <w:sz w:val="20"/>
                <w:szCs w:val="21"/>
              </w:rPr>
              <w:t>7</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9243">
            <w:pPr>
              <w:rPr>
                <w:rFonts w:ascii="等线" w:hAnsi="等线" w:eastAsia="等线" w:cs="Times New Roman"/>
                <w:sz w:val="20"/>
                <w:szCs w:val="21"/>
              </w:rPr>
            </w:pPr>
            <w:r>
              <w:rPr>
                <w:rFonts w:hint="eastAsia" w:ascii="等线" w:hAnsi="等线" w:eastAsia="等线" w:cs="Times New Roman"/>
                <w:sz w:val="20"/>
                <w:szCs w:val="21"/>
              </w:rPr>
              <w:t>乙方是否张贴乘用电梯安全须知、维保单位名称和急修、投诉电话应置于轿厢的显著位置；</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0C73">
            <w:pPr>
              <w:jc w:val="center"/>
              <w:rPr>
                <w:rFonts w:ascii="等线" w:hAnsi="等线" w:eastAsia="等线" w:cs="Times New Roman"/>
                <w:sz w:val="20"/>
                <w:szCs w:val="21"/>
              </w:rPr>
            </w:pPr>
            <w:r>
              <w:rPr>
                <w:rFonts w:hint="eastAsia" w:ascii="等线" w:hAnsi="等线" w:eastAsia="等线" w:cs="Times New Roman"/>
                <w:sz w:val="20"/>
                <w:szCs w:val="21"/>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7837">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80B1">
            <w:pPr>
              <w:rPr>
                <w:rFonts w:ascii="等线" w:hAnsi="等线" w:eastAsia="等线" w:cs="Times New Roman"/>
                <w:sz w:val="20"/>
                <w:szCs w:val="21"/>
              </w:rPr>
            </w:pPr>
          </w:p>
        </w:tc>
      </w:tr>
      <w:tr w14:paraId="685AE8BC">
        <w:tblPrEx>
          <w:tblCellMar>
            <w:top w:w="0" w:type="dxa"/>
            <w:left w:w="108" w:type="dxa"/>
            <w:bottom w:w="0" w:type="dxa"/>
            <w:right w:w="108" w:type="dxa"/>
          </w:tblCellMar>
        </w:tblPrEx>
        <w:trPr>
          <w:trHeight w:val="66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77587">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AB29">
            <w:pPr>
              <w:jc w:val="center"/>
              <w:rPr>
                <w:rFonts w:ascii="等线" w:hAnsi="等线" w:eastAsia="等线" w:cs="Times New Roman"/>
                <w:sz w:val="20"/>
                <w:szCs w:val="21"/>
              </w:rPr>
            </w:pPr>
            <w:r>
              <w:rPr>
                <w:rFonts w:hint="eastAsia" w:ascii="等线" w:hAnsi="等线" w:eastAsia="等线" w:cs="Times New Roman"/>
                <w:sz w:val="20"/>
                <w:szCs w:val="21"/>
              </w:rPr>
              <w:t>8</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2C0C">
            <w:pPr>
              <w:rPr>
                <w:rFonts w:ascii="等线" w:hAnsi="等线" w:eastAsia="等线" w:cs="Times New Roman"/>
                <w:sz w:val="20"/>
                <w:szCs w:val="21"/>
              </w:rPr>
            </w:pPr>
            <w:r>
              <w:rPr>
                <w:rFonts w:hint="eastAsia" w:ascii="等线" w:hAnsi="等线" w:eastAsia="等线" w:cs="Times New Roman"/>
                <w:sz w:val="20"/>
                <w:szCs w:val="21"/>
              </w:rPr>
              <w:t>乙方是否在轿厢内贴有维保服务标识牌、检验合格标志且黏贴牢靠；轿内照明良好；应急照明等装置有效；</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8E45">
            <w:pPr>
              <w:jc w:val="center"/>
              <w:rPr>
                <w:rFonts w:ascii="等线" w:hAnsi="等线" w:eastAsia="等线" w:cs="Times New Roman"/>
                <w:sz w:val="20"/>
                <w:szCs w:val="21"/>
              </w:rPr>
            </w:pPr>
            <w:r>
              <w:rPr>
                <w:rFonts w:hint="eastAsia" w:ascii="等线" w:hAnsi="等线" w:eastAsia="等线" w:cs="Times New Roman"/>
                <w:sz w:val="20"/>
                <w:szCs w:val="21"/>
              </w:rPr>
              <w:t>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B299">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8701">
            <w:pPr>
              <w:rPr>
                <w:rFonts w:ascii="等线" w:hAnsi="等线" w:eastAsia="等线" w:cs="Times New Roman"/>
                <w:sz w:val="20"/>
                <w:szCs w:val="21"/>
              </w:rPr>
            </w:pPr>
          </w:p>
        </w:tc>
      </w:tr>
      <w:tr w14:paraId="04397A2B">
        <w:tblPrEx>
          <w:tblCellMar>
            <w:top w:w="0" w:type="dxa"/>
            <w:left w:w="108" w:type="dxa"/>
            <w:bottom w:w="0" w:type="dxa"/>
            <w:right w:w="108" w:type="dxa"/>
          </w:tblCellMar>
        </w:tblPrEx>
        <w:trPr>
          <w:trHeight w:val="305"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F570E">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76FF">
            <w:pPr>
              <w:jc w:val="center"/>
              <w:rPr>
                <w:rFonts w:ascii="等线" w:hAnsi="等线" w:eastAsia="等线" w:cs="Times New Roman"/>
                <w:sz w:val="20"/>
                <w:szCs w:val="21"/>
              </w:rPr>
            </w:pPr>
            <w:r>
              <w:rPr>
                <w:rFonts w:hint="eastAsia" w:ascii="等线" w:hAnsi="等线" w:eastAsia="等线" w:cs="Times New Roman"/>
                <w:sz w:val="20"/>
                <w:szCs w:val="21"/>
              </w:rPr>
              <w:t>9</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F659">
            <w:pPr>
              <w:rPr>
                <w:rFonts w:ascii="等线" w:hAnsi="等线" w:eastAsia="等线" w:cs="Times New Roman"/>
                <w:sz w:val="20"/>
                <w:szCs w:val="21"/>
              </w:rPr>
            </w:pPr>
            <w:r>
              <w:rPr>
                <w:rFonts w:hint="eastAsia" w:ascii="等线" w:hAnsi="等线" w:eastAsia="等线" w:cs="Times New Roman"/>
                <w:sz w:val="20"/>
                <w:szCs w:val="21"/>
              </w:rPr>
              <w:t>乙方是否能果断及时处置突发事件，保障电梯安全运行；</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796A">
            <w:pPr>
              <w:jc w:val="center"/>
              <w:rPr>
                <w:rFonts w:ascii="等线" w:hAnsi="等线" w:eastAsia="等线" w:cs="Times New Roman"/>
                <w:sz w:val="20"/>
                <w:szCs w:val="21"/>
              </w:rPr>
            </w:pPr>
            <w:r>
              <w:rPr>
                <w:rFonts w:hint="eastAsia" w:ascii="等线" w:hAnsi="等线" w:eastAsia="等线" w:cs="Times New Roman"/>
                <w:sz w:val="20"/>
                <w:szCs w:val="21"/>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C37C">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15C9">
            <w:pPr>
              <w:rPr>
                <w:rFonts w:ascii="等线" w:hAnsi="等线" w:eastAsia="等线" w:cs="Times New Roman"/>
                <w:sz w:val="20"/>
                <w:szCs w:val="21"/>
              </w:rPr>
            </w:pPr>
          </w:p>
        </w:tc>
      </w:tr>
      <w:tr w14:paraId="1C3DF5FC">
        <w:tblPrEx>
          <w:tblCellMar>
            <w:top w:w="0" w:type="dxa"/>
            <w:left w:w="108" w:type="dxa"/>
            <w:bottom w:w="0" w:type="dxa"/>
            <w:right w:w="108" w:type="dxa"/>
          </w:tblCellMar>
        </w:tblPrEx>
        <w:trPr>
          <w:trHeight w:val="305"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754D">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CEDC">
            <w:pPr>
              <w:jc w:val="center"/>
              <w:rPr>
                <w:rFonts w:ascii="等线" w:hAnsi="等线" w:eastAsia="等线" w:cs="Times New Roman"/>
                <w:sz w:val="20"/>
                <w:szCs w:val="21"/>
              </w:rPr>
            </w:pPr>
            <w:r>
              <w:rPr>
                <w:rFonts w:hint="eastAsia" w:ascii="等线" w:hAnsi="等线" w:eastAsia="等线" w:cs="Times New Roman"/>
                <w:sz w:val="20"/>
                <w:szCs w:val="21"/>
              </w:rPr>
              <w:t>10</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9721">
            <w:pPr>
              <w:rPr>
                <w:rFonts w:ascii="等线" w:hAnsi="等线" w:eastAsia="等线" w:cs="Times New Roman"/>
                <w:sz w:val="20"/>
                <w:szCs w:val="21"/>
              </w:rPr>
            </w:pPr>
            <w:r>
              <w:rPr>
                <w:rFonts w:hint="eastAsia" w:ascii="等线" w:hAnsi="等线" w:eastAsia="等线" w:cs="Times New Roman"/>
                <w:sz w:val="20"/>
                <w:szCs w:val="21"/>
              </w:rPr>
              <w:t>乙方是否能及时准确更新维保人员信息资料；</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923A">
            <w:pPr>
              <w:jc w:val="center"/>
              <w:rPr>
                <w:rFonts w:ascii="等线" w:hAnsi="等线" w:eastAsia="等线" w:cs="Times New Roman"/>
                <w:sz w:val="20"/>
                <w:szCs w:val="21"/>
              </w:rPr>
            </w:pPr>
            <w:r>
              <w:rPr>
                <w:rFonts w:hint="eastAsia" w:ascii="等线" w:hAnsi="等线" w:eastAsia="等线" w:cs="Times New Roman"/>
                <w:sz w:val="20"/>
                <w:szCs w:val="21"/>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6840">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4D65">
            <w:pPr>
              <w:rPr>
                <w:rFonts w:ascii="等线" w:hAnsi="等线" w:eastAsia="等线" w:cs="Times New Roman"/>
                <w:sz w:val="20"/>
                <w:szCs w:val="21"/>
              </w:rPr>
            </w:pPr>
          </w:p>
        </w:tc>
      </w:tr>
      <w:tr w14:paraId="1828571A">
        <w:tblPrEx>
          <w:tblCellMar>
            <w:top w:w="0" w:type="dxa"/>
            <w:left w:w="108" w:type="dxa"/>
            <w:bottom w:w="0" w:type="dxa"/>
            <w:right w:w="108" w:type="dxa"/>
          </w:tblCellMar>
        </w:tblPrEx>
        <w:trPr>
          <w:trHeight w:val="305"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2734E">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3800">
            <w:pPr>
              <w:jc w:val="center"/>
              <w:rPr>
                <w:rFonts w:ascii="等线" w:hAnsi="等线" w:eastAsia="等线" w:cs="Times New Roman"/>
                <w:sz w:val="20"/>
                <w:szCs w:val="21"/>
              </w:rPr>
            </w:pPr>
            <w:r>
              <w:rPr>
                <w:rFonts w:hint="eastAsia" w:ascii="等线" w:hAnsi="等线" w:eastAsia="等线" w:cs="Times New Roman"/>
                <w:sz w:val="20"/>
                <w:szCs w:val="21"/>
              </w:rPr>
              <w:t>11</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287A">
            <w:pPr>
              <w:rPr>
                <w:rFonts w:ascii="等线" w:hAnsi="等线" w:eastAsia="等线" w:cs="Times New Roman"/>
                <w:sz w:val="20"/>
                <w:szCs w:val="21"/>
              </w:rPr>
            </w:pPr>
            <w:r>
              <w:rPr>
                <w:rFonts w:hint="eastAsia" w:ascii="等线" w:hAnsi="等线" w:eastAsia="等线" w:cs="Times New Roman"/>
                <w:sz w:val="20"/>
                <w:szCs w:val="21"/>
              </w:rPr>
              <w:t>维保人员是否能自觉遵守岗位管理工作纪律；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86F1">
            <w:pPr>
              <w:jc w:val="center"/>
              <w:rPr>
                <w:rFonts w:ascii="等线" w:hAnsi="等线" w:eastAsia="等线" w:cs="Times New Roman"/>
                <w:sz w:val="20"/>
                <w:szCs w:val="21"/>
              </w:rPr>
            </w:pPr>
            <w:r>
              <w:rPr>
                <w:rFonts w:hint="eastAsia" w:ascii="等线" w:hAnsi="等线" w:eastAsia="等线" w:cs="Times New Roman"/>
                <w:sz w:val="20"/>
                <w:szCs w:val="21"/>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B55A">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0375">
            <w:pPr>
              <w:rPr>
                <w:rFonts w:ascii="等线" w:hAnsi="等线" w:eastAsia="等线" w:cs="Times New Roman"/>
                <w:sz w:val="20"/>
                <w:szCs w:val="21"/>
              </w:rPr>
            </w:pPr>
          </w:p>
        </w:tc>
      </w:tr>
      <w:tr w14:paraId="17B897C5">
        <w:tblPrEx>
          <w:tblCellMar>
            <w:top w:w="0" w:type="dxa"/>
            <w:left w:w="108" w:type="dxa"/>
            <w:bottom w:w="0" w:type="dxa"/>
            <w:right w:w="108" w:type="dxa"/>
          </w:tblCellMar>
        </w:tblPrEx>
        <w:trPr>
          <w:trHeight w:val="305"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251BE">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C2F0">
            <w:pPr>
              <w:jc w:val="center"/>
              <w:rPr>
                <w:rFonts w:ascii="等线" w:hAnsi="等线" w:eastAsia="等线" w:cs="Times New Roman"/>
                <w:sz w:val="20"/>
                <w:szCs w:val="21"/>
              </w:rPr>
            </w:pPr>
            <w:r>
              <w:rPr>
                <w:rFonts w:hint="eastAsia" w:ascii="等线" w:hAnsi="等线" w:eastAsia="等线" w:cs="Times New Roman"/>
                <w:sz w:val="20"/>
                <w:szCs w:val="21"/>
              </w:rPr>
              <w:t>12</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2DA8">
            <w:pPr>
              <w:rPr>
                <w:rFonts w:ascii="等线" w:hAnsi="等线" w:eastAsia="等线" w:cs="Times New Roman"/>
                <w:sz w:val="20"/>
                <w:szCs w:val="21"/>
              </w:rPr>
            </w:pPr>
            <w:r>
              <w:rPr>
                <w:rFonts w:hint="eastAsia" w:ascii="等线" w:hAnsi="等线" w:eastAsia="等线" w:cs="Times New Roman"/>
                <w:sz w:val="20"/>
                <w:szCs w:val="21"/>
              </w:rPr>
              <w:t>乙方维保记录、故障检查记录填写真实，签字齐全，保存完好；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4FE9">
            <w:pPr>
              <w:jc w:val="center"/>
              <w:rPr>
                <w:rFonts w:ascii="等线" w:hAnsi="等线" w:eastAsia="等线" w:cs="Times New Roman"/>
                <w:sz w:val="20"/>
                <w:szCs w:val="21"/>
              </w:rPr>
            </w:pPr>
            <w:r>
              <w:rPr>
                <w:rFonts w:hint="eastAsia" w:ascii="等线" w:hAnsi="等线" w:eastAsia="等线" w:cs="Times New Roman"/>
                <w:sz w:val="20"/>
                <w:szCs w:val="21"/>
              </w:rPr>
              <w:t>7</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7B3C">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5B40">
            <w:pPr>
              <w:rPr>
                <w:rFonts w:ascii="等线" w:hAnsi="等线" w:eastAsia="等线" w:cs="Times New Roman"/>
                <w:sz w:val="20"/>
                <w:szCs w:val="21"/>
              </w:rPr>
            </w:pPr>
          </w:p>
        </w:tc>
      </w:tr>
      <w:tr w14:paraId="1D733BFF">
        <w:tblPrEx>
          <w:tblCellMar>
            <w:top w:w="0" w:type="dxa"/>
            <w:left w:w="108" w:type="dxa"/>
            <w:bottom w:w="0" w:type="dxa"/>
            <w:right w:w="108" w:type="dxa"/>
          </w:tblCellMar>
        </w:tblPrEx>
        <w:trPr>
          <w:trHeight w:val="57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31B2A">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CF62">
            <w:pPr>
              <w:jc w:val="center"/>
              <w:rPr>
                <w:rFonts w:ascii="等线" w:hAnsi="等线" w:eastAsia="等线" w:cs="Times New Roman"/>
                <w:sz w:val="20"/>
                <w:szCs w:val="21"/>
              </w:rPr>
            </w:pPr>
            <w:r>
              <w:rPr>
                <w:rFonts w:hint="eastAsia" w:ascii="等线" w:hAnsi="等线" w:eastAsia="等线" w:cs="Times New Roman"/>
                <w:sz w:val="20"/>
                <w:szCs w:val="21"/>
              </w:rPr>
              <w:t>13</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B420">
            <w:pPr>
              <w:rPr>
                <w:rFonts w:ascii="等线" w:hAnsi="等线" w:eastAsia="等线" w:cs="Times New Roman"/>
                <w:sz w:val="20"/>
                <w:szCs w:val="21"/>
              </w:rPr>
            </w:pPr>
            <w:r>
              <w:rPr>
                <w:rFonts w:hint="eastAsia" w:ascii="等线" w:hAnsi="等线" w:eastAsia="等线" w:cs="Times New Roman"/>
                <w:sz w:val="20"/>
                <w:szCs w:val="21"/>
              </w:rPr>
              <w:t>困人事故接到通知后10分钟内赶到现场实施紧急救援，30分钟内完成解救人员；</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FB15">
            <w:pPr>
              <w:jc w:val="center"/>
              <w:rPr>
                <w:rFonts w:ascii="等线" w:hAnsi="等线" w:eastAsia="等线" w:cs="Times New Roman"/>
                <w:sz w:val="20"/>
                <w:szCs w:val="21"/>
              </w:rPr>
            </w:pPr>
            <w:r>
              <w:rPr>
                <w:rFonts w:hint="eastAsia" w:ascii="等线" w:hAnsi="等线" w:eastAsia="等线" w:cs="Times New Roman"/>
                <w:sz w:val="20"/>
                <w:szCs w:val="21"/>
              </w:rPr>
              <w:t>8</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04BC">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6B4D">
            <w:pPr>
              <w:rPr>
                <w:rFonts w:ascii="等线" w:hAnsi="等线" w:eastAsia="等线" w:cs="Times New Roman"/>
                <w:sz w:val="20"/>
                <w:szCs w:val="21"/>
              </w:rPr>
            </w:pPr>
          </w:p>
        </w:tc>
      </w:tr>
      <w:tr w14:paraId="5F734056">
        <w:tblPrEx>
          <w:tblCellMar>
            <w:top w:w="0" w:type="dxa"/>
            <w:left w:w="108" w:type="dxa"/>
            <w:bottom w:w="0" w:type="dxa"/>
            <w:right w:w="108" w:type="dxa"/>
          </w:tblCellMar>
        </w:tblPrEx>
        <w:trPr>
          <w:trHeight w:val="285"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16300">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EE23">
            <w:pPr>
              <w:jc w:val="center"/>
              <w:rPr>
                <w:rFonts w:ascii="等线" w:hAnsi="等线" w:eastAsia="等线" w:cs="Times New Roman"/>
                <w:sz w:val="20"/>
                <w:szCs w:val="21"/>
              </w:rPr>
            </w:pPr>
            <w:r>
              <w:rPr>
                <w:rFonts w:hint="eastAsia" w:ascii="等线" w:hAnsi="等线" w:eastAsia="等线" w:cs="Times New Roman"/>
                <w:sz w:val="20"/>
                <w:szCs w:val="21"/>
              </w:rPr>
              <w:t>14</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8737">
            <w:pPr>
              <w:rPr>
                <w:rFonts w:ascii="等线" w:hAnsi="等线" w:eastAsia="等线" w:cs="Times New Roman"/>
                <w:sz w:val="20"/>
                <w:szCs w:val="21"/>
              </w:rPr>
            </w:pPr>
            <w:r>
              <w:rPr>
                <w:rFonts w:hint="eastAsia" w:ascii="等线" w:hAnsi="等线" w:eastAsia="等线" w:cs="Times New Roman"/>
                <w:sz w:val="20"/>
                <w:szCs w:val="21"/>
              </w:rPr>
              <w:t>乙方每次维保时，有2人参与工作，并放置好安全护栏。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FBEE">
            <w:pPr>
              <w:jc w:val="center"/>
              <w:rPr>
                <w:rFonts w:ascii="等线" w:hAnsi="等线" w:eastAsia="等线" w:cs="Times New Roman"/>
                <w:sz w:val="20"/>
                <w:szCs w:val="21"/>
              </w:rPr>
            </w:pPr>
            <w:r>
              <w:rPr>
                <w:rFonts w:hint="eastAsia" w:ascii="等线" w:hAnsi="等线" w:eastAsia="等线" w:cs="Times New Roman"/>
                <w:sz w:val="20"/>
                <w:szCs w:val="21"/>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C715">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4093">
            <w:pPr>
              <w:rPr>
                <w:rFonts w:ascii="等线" w:hAnsi="等线" w:eastAsia="等线" w:cs="Times New Roman"/>
                <w:sz w:val="20"/>
                <w:szCs w:val="21"/>
              </w:rPr>
            </w:pPr>
          </w:p>
        </w:tc>
      </w:tr>
      <w:tr w14:paraId="710D5C94">
        <w:tblPrEx>
          <w:tblCellMar>
            <w:top w:w="0" w:type="dxa"/>
            <w:left w:w="108" w:type="dxa"/>
            <w:bottom w:w="0" w:type="dxa"/>
            <w:right w:w="108" w:type="dxa"/>
          </w:tblCellMar>
        </w:tblPrEx>
        <w:trPr>
          <w:trHeight w:val="300"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80386">
            <w:pPr>
              <w:rPr>
                <w:rFonts w:ascii="等线" w:hAnsi="等线" w:eastAsia="等线" w:cs="Times New Roman"/>
                <w:sz w:val="20"/>
                <w:szCs w:val="21"/>
              </w:rPr>
            </w:pPr>
            <w:r>
              <w:rPr>
                <w:rFonts w:hint="eastAsia" w:ascii="等线" w:hAnsi="等线" w:eastAsia="等线" w:cs="Times New Roman"/>
                <w:sz w:val="20"/>
                <w:szCs w:val="21"/>
              </w:rPr>
              <w:t>安全责任与纪律执行情况</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152F">
            <w:pPr>
              <w:jc w:val="center"/>
              <w:rPr>
                <w:rFonts w:ascii="等线" w:hAnsi="等线" w:eastAsia="等线" w:cs="Times New Roman"/>
                <w:sz w:val="20"/>
                <w:szCs w:val="21"/>
              </w:rPr>
            </w:pPr>
            <w:r>
              <w:rPr>
                <w:rFonts w:hint="eastAsia" w:ascii="等线" w:hAnsi="等线" w:eastAsia="等线" w:cs="Times New Roman"/>
                <w:sz w:val="20"/>
                <w:szCs w:val="21"/>
              </w:rPr>
              <w:t>1</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55F5">
            <w:pPr>
              <w:rPr>
                <w:rFonts w:ascii="等线" w:hAnsi="等线" w:eastAsia="等线" w:cs="Times New Roman"/>
                <w:sz w:val="20"/>
                <w:szCs w:val="21"/>
              </w:rPr>
            </w:pPr>
            <w:r>
              <w:rPr>
                <w:rFonts w:hint="eastAsia" w:ascii="等线" w:hAnsi="等线" w:eastAsia="等线" w:cs="Times New Roman"/>
                <w:sz w:val="20"/>
                <w:szCs w:val="21"/>
              </w:rPr>
              <w:t>无安全事故，没有因疏忽、大意或处理不当而发生安全问题，导致甲方管理场所范围内有人员伤亡；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8673">
            <w:pPr>
              <w:jc w:val="center"/>
              <w:rPr>
                <w:rFonts w:ascii="等线" w:hAnsi="等线" w:eastAsia="等线" w:cs="Times New Roman"/>
                <w:sz w:val="20"/>
                <w:szCs w:val="21"/>
              </w:rPr>
            </w:pPr>
            <w:r>
              <w:rPr>
                <w:rFonts w:hint="eastAsia" w:ascii="等线" w:hAnsi="等线" w:eastAsia="等线" w:cs="Times New Roman"/>
                <w:sz w:val="20"/>
                <w:szCs w:val="21"/>
              </w:rPr>
              <w:t>8</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B993">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2767">
            <w:pPr>
              <w:rPr>
                <w:rFonts w:ascii="等线" w:hAnsi="等线" w:eastAsia="等线" w:cs="Times New Roman"/>
                <w:sz w:val="20"/>
                <w:szCs w:val="21"/>
              </w:rPr>
            </w:pPr>
          </w:p>
        </w:tc>
      </w:tr>
      <w:tr w14:paraId="69F6C756">
        <w:tblPrEx>
          <w:tblCellMar>
            <w:top w:w="0" w:type="dxa"/>
            <w:left w:w="108" w:type="dxa"/>
            <w:bottom w:w="0" w:type="dxa"/>
            <w:right w:w="108" w:type="dxa"/>
          </w:tblCellMar>
        </w:tblPrEx>
        <w:trPr>
          <w:trHeight w:val="30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58284">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D964">
            <w:pPr>
              <w:jc w:val="center"/>
              <w:rPr>
                <w:rFonts w:ascii="等线" w:hAnsi="等线" w:eastAsia="等线" w:cs="Times New Roman"/>
                <w:sz w:val="20"/>
                <w:szCs w:val="21"/>
              </w:rPr>
            </w:pPr>
            <w:r>
              <w:rPr>
                <w:rFonts w:hint="eastAsia" w:ascii="等线" w:hAnsi="等线" w:eastAsia="等线" w:cs="Times New Roman"/>
                <w:sz w:val="20"/>
                <w:szCs w:val="21"/>
              </w:rPr>
              <w:t>2</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D08E">
            <w:pPr>
              <w:rPr>
                <w:rFonts w:ascii="等线" w:hAnsi="等线" w:eastAsia="等线" w:cs="Times New Roman"/>
                <w:sz w:val="20"/>
                <w:szCs w:val="21"/>
              </w:rPr>
            </w:pPr>
            <w:r>
              <w:rPr>
                <w:rFonts w:hint="eastAsia" w:ascii="等线" w:hAnsi="等线" w:eastAsia="等线" w:cs="Times New Roman"/>
                <w:sz w:val="20"/>
                <w:szCs w:val="21"/>
              </w:rPr>
              <w:t>实施维保作业的现场应在明显位置放置表明正在作业的警示标志及安全护栏；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C1E8">
            <w:pPr>
              <w:jc w:val="center"/>
              <w:rPr>
                <w:rFonts w:ascii="等线" w:hAnsi="等线" w:eastAsia="等线" w:cs="Times New Roman"/>
                <w:sz w:val="20"/>
                <w:szCs w:val="21"/>
              </w:rPr>
            </w:pPr>
            <w:r>
              <w:rPr>
                <w:rFonts w:hint="eastAsia" w:ascii="等线" w:hAnsi="等线" w:eastAsia="等线" w:cs="Times New Roman"/>
                <w:sz w:val="20"/>
                <w:szCs w:val="21"/>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D7D1">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5467">
            <w:pPr>
              <w:rPr>
                <w:rFonts w:ascii="等线" w:hAnsi="等线" w:eastAsia="等线" w:cs="Times New Roman"/>
                <w:sz w:val="20"/>
                <w:szCs w:val="21"/>
              </w:rPr>
            </w:pPr>
          </w:p>
        </w:tc>
      </w:tr>
      <w:tr w14:paraId="3DB004E5">
        <w:tblPrEx>
          <w:tblCellMar>
            <w:top w:w="0" w:type="dxa"/>
            <w:left w:w="108" w:type="dxa"/>
            <w:bottom w:w="0" w:type="dxa"/>
            <w:right w:w="108" w:type="dxa"/>
          </w:tblCellMar>
        </w:tblPrEx>
        <w:trPr>
          <w:trHeight w:val="30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A18DE">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C255">
            <w:pPr>
              <w:jc w:val="center"/>
              <w:rPr>
                <w:rFonts w:ascii="等线" w:hAnsi="等线" w:eastAsia="等线" w:cs="Times New Roman"/>
                <w:sz w:val="20"/>
                <w:szCs w:val="21"/>
              </w:rPr>
            </w:pPr>
            <w:r>
              <w:rPr>
                <w:rFonts w:hint="eastAsia" w:ascii="等线" w:hAnsi="等线" w:eastAsia="等线" w:cs="Times New Roman"/>
                <w:sz w:val="20"/>
                <w:szCs w:val="21"/>
              </w:rPr>
              <w:t>3</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0DDE">
            <w:pPr>
              <w:rPr>
                <w:rFonts w:ascii="等线" w:hAnsi="等线" w:eastAsia="等线" w:cs="Times New Roman"/>
                <w:sz w:val="20"/>
                <w:szCs w:val="21"/>
              </w:rPr>
            </w:pPr>
            <w:r>
              <w:rPr>
                <w:rFonts w:hint="eastAsia" w:ascii="等线" w:hAnsi="等线" w:eastAsia="等线" w:cs="Times New Roman"/>
                <w:sz w:val="20"/>
                <w:szCs w:val="21"/>
              </w:rPr>
              <w:t>严格按照生产设备安全操作规程执行，没有造成甲方设备设施的损毁；</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F96E">
            <w:pPr>
              <w:jc w:val="center"/>
              <w:rPr>
                <w:rFonts w:ascii="等线" w:hAnsi="等线" w:eastAsia="等线" w:cs="Times New Roman"/>
                <w:sz w:val="20"/>
                <w:szCs w:val="21"/>
              </w:rPr>
            </w:pPr>
            <w:r>
              <w:rPr>
                <w:rFonts w:hint="eastAsia" w:ascii="等线" w:hAnsi="等线" w:eastAsia="等线" w:cs="Times New Roman"/>
                <w:sz w:val="20"/>
                <w:szCs w:val="21"/>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CD80">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677D">
            <w:pPr>
              <w:rPr>
                <w:rFonts w:ascii="等线" w:hAnsi="等线" w:eastAsia="等线" w:cs="Times New Roman"/>
                <w:sz w:val="20"/>
                <w:szCs w:val="21"/>
              </w:rPr>
            </w:pPr>
          </w:p>
        </w:tc>
      </w:tr>
      <w:tr w14:paraId="473FD3E3">
        <w:tblPrEx>
          <w:tblCellMar>
            <w:top w:w="0" w:type="dxa"/>
            <w:left w:w="108" w:type="dxa"/>
            <w:bottom w:w="0" w:type="dxa"/>
            <w:right w:w="108" w:type="dxa"/>
          </w:tblCellMar>
        </w:tblPrEx>
        <w:trPr>
          <w:trHeight w:val="30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A0E8">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A458">
            <w:pPr>
              <w:jc w:val="center"/>
              <w:rPr>
                <w:rFonts w:ascii="等线" w:hAnsi="等线" w:eastAsia="等线" w:cs="Times New Roman"/>
                <w:sz w:val="20"/>
                <w:szCs w:val="21"/>
              </w:rPr>
            </w:pPr>
            <w:r>
              <w:rPr>
                <w:rFonts w:hint="eastAsia" w:ascii="等线" w:hAnsi="等线" w:eastAsia="等线" w:cs="Times New Roman"/>
                <w:sz w:val="20"/>
                <w:szCs w:val="21"/>
              </w:rPr>
              <w:t>4</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A96D">
            <w:pPr>
              <w:rPr>
                <w:rFonts w:ascii="等线" w:hAnsi="等线" w:eastAsia="等线" w:cs="Times New Roman"/>
                <w:sz w:val="20"/>
                <w:szCs w:val="21"/>
              </w:rPr>
            </w:pPr>
            <w:r>
              <w:rPr>
                <w:rFonts w:hint="eastAsia" w:ascii="等线" w:hAnsi="等线" w:eastAsia="等线" w:cs="Times New Roman"/>
                <w:sz w:val="20"/>
                <w:szCs w:val="21"/>
              </w:rPr>
              <w:t>自觉遵守甲方管理场所各项规章制度。</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6BD4">
            <w:pPr>
              <w:jc w:val="center"/>
              <w:rPr>
                <w:rFonts w:ascii="等线" w:hAnsi="等线" w:eastAsia="等线" w:cs="Times New Roman"/>
                <w:sz w:val="20"/>
                <w:szCs w:val="21"/>
              </w:rPr>
            </w:pPr>
            <w:r>
              <w:rPr>
                <w:rFonts w:hint="eastAsia" w:ascii="等线" w:hAnsi="等线" w:eastAsia="等线" w:cs="Times New Roman"/>
                <w:sz w:val="20"/>
                <w:szCs w:val="21"/>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6475">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9813">
            <w:pPr>
              <w:rPr>
                <w:rFonts w:ascii="等线" w:hAnsi="等线" w:eastAsia="等线" w:cs="Times New Roman"/>
                <w:sz w:val="20"/>
                <w:szCs w:val="21"/>
              </w:rPr>
            </w:pPr>
          </w:p>
        </w:tc>
      </w:tr>
      <w:tr w14:paraId="4E3E5BA6">
        <w:tblPrEx>
          <w:tblCellMar>
            <w:top w:w="0" w:type="dxa"/>
            <w:left w:w="108" w:type="dxa"/>
            <w:bottom w:w="0" w:type="dxa"/>
            <w:right w:w="108" w:type="dxa"/>
          </w:tblCellMar>
        </w:tblPrEx>
        <w:trPr>
          <w:trHeight w:val="300" w:hRule="atLeast"/>
          <w:jc w:val="center"/>
        </w:trPr>
        <w:tc>
          <w:tcPr>
            <w:tcW w:w="640" w:type="dxa"/>
            <w:vMerge w:val="restart"/>
            <w:tcBorders>
              <w:top w:val="single" w:color="000000" w:sz="4" w:space="0"/>
              <w:left w:val="single" w:color="000000" w:sz="4" w:space="0"/>
              <w:bottom w:val="nil"/>
              <w:right w:val="single" w:color="000000" w:sz="4" w:space="0"/>
            </w:tcBorders>
            <w:shd w:val="clear" w:color="auto" w:fill="auto"/>
            <w:vAlign w:val="center"/>
          </w:tcPr>
          <w:p w14:paraId="76B09423">
            <w:pPr>
              <w:rPr>
                <w:rFonts w:ascii="等线" w:hAnsi="等线" w:eastAsia="等线" w:cs="Times New Roman"/>
                <w:sz w:val="20"/>
                <w:szCs w:val="21"/>
              </w:rPr>
            </w:pPr>
            <w:r>
              <w:rPr>
                <w:rFonts w:hint="eastAsia" w:ascii="等线" w:hAnsi="等线" w:eastAsia="等线" w:cs="Times New Roman"/>
                <w:sz w:val="20"/>
                <w:szCs w:val="21"/>
              </w:rPr>
              <w:t>服务态度与职业道德执行情况</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F966">
            <w:pPr>
              <w:jc w:val="center"/>
              <w:rPr>
                <w:rFonts w:ascii="等线" w:hAnsi="等线" w:eastAsia="等线" w:cs="Times New Roman"/>
                <w:sz w:val="20"/>
                <w:szCs w:val="21"/>
              </w:rPr>
            </w:pPr>
            <w:r>
              <w:rPr>
                <w:rFonts w:hint="eastAsia" w:ascii="等线" w:hAnsi="等线" w:eastAsia="等线" w:cs="Times New Roman"/>
                <w:sz w:val="20"/>
                <w:szCs w:val="21"/>
              </w:rPr>
              <w:t>1</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B378">
            <w:pPr>
              <w:rPr>
                <w:rFonts w:ascii="等线" w:hAnsi="等线" w:eastAsia="等线" w:cs="Times New Roman"/>
                <w:sz w:val="20"/>
                <w:szCs w:val="21"/>
              </w:rPr>
            </w:pPr>
            <w:r>
              <w:rPr>
                <w:rFonts w:hint="eastAsia" w:ascii="等线" w:hAnsi="等线" w:eastAsia="等线" w:cs="Times New Roman"/>
                <w:sz w:val="20"/>
                <w:szCs w:val="21"/>
              </w:rPr>
              <w:t>乙方工作人员及时发现问题并及时与甲方沟通；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CE59">
            <w:pPr>
              <w:jc w:val="center"/>
              <w:rPr>
                <w:rFonts w:ascii="等线" w:hAnsi="等线" w:eastAsia="等线" w:cs="Times New Roman"/>
                <w:sz w:val="20"/>
                <w:szCs w:val="21"/>
              </w:rPr>
            </w:pPr>
            <w:r>
              <w:rPr>
                <w:rFonts w:hint="eastAsia" w:ascii="等线" w:hAnsi="等线" w:eastAsia="等线" w:cs="Times New Roman"/>
                <w:sz w:val="20"/>
                <w:szCs w:val="21"/>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F84F">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CF95">
            <w:pPr>
              <w:rPr>
                <w:rFonts w:ascii="等线" w:hAnsi="等线" w:eastAsia="等线" w:cs="Times New Roman"/>
                <w:sz w:val="20"/>
                <w:szCs w:val="21"/>
              </w:rPr>
            </w:pPr>
          </w:p>
        </w:tc>
      </w:tr>
      <w:tr w14:paraId="6AEE0469">
        <w:tblPrEx>
          <w:tblCellMar>
            <w:top w:w="0" w:type="dxa"/>
            <w:left w:w="108" w:type="dxa"/>
            <w:bottom w:w="0" w:type="dxa"/>
            <w:right w:w="108" w:type="dxa"/>
          </w:tblCellMar>
        </w:tblPrEx>
        <w:trPr>
          <w:trHeight w:val="300" w:hRule="atLeast"/>
          <w:jc w:val="center"/>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14:paraId="494EC4F3">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695A">
            <w:pPr>
              <w:jc w:val="center"/>
              <w:rPr>
                <w:rFonts w:ascii="等线" w:hAnsi="等线" w:eastAsia="等线" w:cs="Times New Roman"/>
                <w:sz w:val="20"/>
                <w:szCs w:val="21"/>
              </w:rPr>
            </w:pPr>
            <w:r>
              <w:rPr>
                <w:rFonts w:hint="eastAsia" w:ascii="等线" w:hAnsi="等线" w:eastAsia="等线" w:cs="Times New Roman"/>
                <w:sz w:val="20"/>
                <w:szCs w:val="21"/>
              </w:rPr>
              <w:t>2</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A20C">
            <w:pPr>
              <w:rPr>
                <w:rFonts w:ascii="等线" w:hAnsi="等线" w:eastAsia="等线" w:cs="Times New Roman"/>
                <w:sz w:val="20"/>
                <w:szCs w:val="21"/>
              </w:rPr>
            </w:pPr>
            <w:r>
              <w:rPr>
                <w:rFonts w:hint="eastAsia" w:ascii="等线" w:hAnsi="等线" w:eastAsia="等线" w:cs="Times New Roman"/>
                <w:sz w:val="20"/>
                <w:szCs w:val="21"/>
              </w:rPr>
              <w:t>按工作规范为甲方提供服务，无工作延误、隐瞒及虚报现象；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860C">
            <w:pPr>
              <w:jc w:val="center"/>
              <w:rPr>
                <w:rFonts w:ascii="等线" w:hAnsi="等线" w:eastAsia="等线" w:cs="Times New Roman"/>
                <w:sz w:val="20"/>
                <w:szCs w:val="21"/>
              </w:rPr>
            </w:pPr>
            <w:r>
              <w:rPr>
                <w:rFonts w:hint="eastAsia" w:ascii="等线" w:hAnsi="等线" w:eastAsia="等线" w:cs="Times New Roman"/>
                <w:sz w:val="20"/>
                <w:szCs w:val="21"/>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2C1C">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1F63">
            <w:pPr>
              <w:rPr>
                <w:rFonts w:ascii="等线" w:hAnsi="等线" w:eastAsia="等线" w:cs="Times New Roman"/>
                <w:sz w:val="20"/>
                <w:szCs w:val="21"/>
              </w:rPr>
            </w:pPr>
          </w:p>
        </w:tc>
      </w:tr>
      <w:tr w14:paraId="222CAA24">
        <w:tblPrEx>
          <w:tblCellMar>
            <w:top w:w="0" w:type="dxa"/>
            <w:left w:w="108" w:type="dxa"/>
            <w:bottom w:w="0" w:type="dxa"/>
            <w:right w:w="108" w:type="dxa"/>
          </w:tblCellMar>
        </w:tblPrEx>
        <w:trPr>
          <w:trHeight w:val="300" w:hRule="atLeast"/>
          <w:jc w:val="center"/>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14:paraId="482C1C1E">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7AFF">
            <w:pPr>
              <w:jc w:val="center"/>
              <w:rPr>
                <w:rFonts w:ascii="等线" w:hAnsi="等线" w:eastAsia="等线" w:cs="Times New Roman"/>
                <w:sz w:val="20"/>
                <w:szCs w:val="21"/>
              </w:rPr>
            </w:pPr>
            <w:r>
              <w:rPr>
                <w:rFonts w:hint="eastAsia" w:ascii="等线" w:hAnsi="等线" w:eastAsia="等线" w:cs="Times New Roman"/>
                <w:sz w:val="20"/>
                <w:szCs w:val="21"/>
              </w:rPr>
              <w:t>3</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6926">
            <w:pPr>
              <w:rPr>
                <w:rFonts w:ascii="等线" w:hAnsi="等线" w:eastAsia="等线" w:cs="Times New Roman"/>
                <w:sz w:val="20"/>
                <w:szCs w:val="21"/>
              </w:rPr>
            </w:pPr>
            <w:r>
              <w:rPr>
                <w:rFonts w:hint="eastAsia" w:ascii="等线" w:hAnsi="等线" w:eastAsia="等线" w:cs="Times New Roman"/>
                <w:sz w:val="20"/>
                <w:szCs w:val="21"/>
              </w:rPr>
              <w:t>乙方无故意隐瞒投诉，接到投诉能及时向甲方反映情况并解决问题；</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887C">
            <w:pPr>
              <w:jc w:val="center"/>
              <w:rPr>
                <w:rFonts w:ascii="等线" w:hAnsi="等线" w:eastAsia="等线" w:cs="Times New Roman"/>
                <w:sz w:val="20"/>
                <w:szCs w:val="21"/>
              </w:rPr>
            </w:pPr>
            <w:r>
              <w:rPr>
                <w:rFonts w:hint="eastAsia" w:ascii="等线" w:hAnsi="等线" w:eastAsia="等线" w:cs="Times New Roman"/>
                <w:sz w:val="20"/>
                <w:szCs w:val="21"/>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C0EE">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5A08">
            <w:pPr>
              <w:rPr>
                <w:rFonts w:ascii="等线" w:hAnsi="等线" w:eastAsia="等线" w:cs="Times New Roman"/>
                <w:sz w:val="20"/>
                <w:szCs w:val="21"/>
              </w:rPr>
            </w:pPr>
          </w:p>
        </w:tc>
      </w:tr>
      <w:tr w14:paraId="4B220238">
        <w:tblPrEx>
          <w:tblCellMar>
            <w:top w:w="0" w:type="dxa"/>
            <w:left w:w="108" w:type="dxa"/>
            <w:bottom w:w="0" w:type="dxa"/>
            <w:right w:w="108" w:type="dxa"/>
          </w:tblCellMar>
        </w:tblPrEx>
        <w:trPr>
          <w:trHeight w:val="300" w:hRule="atLeast"/>
          <w:jc w:val="center"/>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14:paraId="2687FAA0">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93E8">
            <w:pPr>
              <w:jc w:val="center"/>
              <w:rPr>
                <w:rFonts w:ascii="等线" w:hAnsi="等线" w:eastAsia="等线" w:cs="Times New Roman"/>
                <w:sz w:val="20"/>
                <w:szCs w:val="21"/>
              </w:rPr>
            </w:pPr>
            <w:r>
              <w:rPr>
                <w:rFonts w:hint="eastAsia" w:ascii="等线" w:hAnsi="等线" w:eastAsia="等线" w:cs="Times New Roman"/>
                <w:sz w:val="20"/>
                <w:szCs w:val="21"/>
              </w:rPr>
              <w:t>4</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0593">
            <w:pPr>
              <w:rPr>
                <w:rFonts w:ascii="等线" w:hAnsi="等线" w:eastAsia="等线" w:cs="Times New Roman"/>
                <w:sz w:val="20"/>
                <w:szCs w:val="21"/>
              </w:rPr>
            </w:pPr>
            <w:r>
              <w:rPr>
                <w:rFonts w:hint="eastAsia" w:ascii="等线" w:hAnsi="等线" w:eastAsia="等线" w:cs="Times New Roman"/>
                <w:sz w:val="20"/>
                <w:szCs w:val="21"/>
              </w:rPr>
              <w:t>乙方服务人员上岗前须经过严格的岗位培训，具有一定的思想品德素质和职业道德；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8729">
            <w:pPr>
              <w:jc w:val="center"/>
              <w:rPr>
                <w:rFonts w:ascii="等线" w:hAnsi="等线" w:eastAsia="等线" w:cs="Times New Roman"/>
                <w:sz w:val="20"/>
                <w:szCs w:val="21"/>
              </w:rPr>
            </w:pPr>
            <w:r>
              <w:rPr>
                <w:rFonts w:hint="eastAsia" w:ascii="等线" w:hAnsi="等线" w:eastAsia="等线" w:cs="Times New Roman"/>
                <w:sz w:val="20"/>
                <w:szCs w:val="21"/>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F08F">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6E6B">
            <w:pPr>
              <w:rPr>
                <w:rFonts w:ascii="等线" w:hAnsi="等线" w:eastAsia="等线" w:cs="Times New Roman"/>
                <w:sz w:val="20"/>
                <w:szCs w:val="21"/>
              </w:rPr>
            </w:pPr>
          </w:p>
        </w:tc>
      </w:tr>
      <w:tr w14:paraId="3E27C99E">
        <w:tblPrEx>
          <w:tblCellMar>
            <w:top w:w="0" w:type="dxa"/>
            <w:left w:w="108" w:type="dxa"/>
            <w:bottom w:w="0" w:type="dxa"/>
            <w:right w:w="108" w:type="dxa"/>
          </w:tblCellMar>
        </w:tblPrEx>
        <w:trPr>
          <w:trHeight w:val="300" w:hRule="atLeast"/>
          <w:jc w:val="center"/>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14:paraId="72BC0837">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1912">
            <w:pPr>
              <w:jc w:val="center"/>
              <w:rPr>
                <w:rFonts w:ascii="等线" w:hAnsi="等线" w:eastAsia="等线" w:cs="Times New Roman"/>
                <w:sz w:val="20"/>
                <w:szCs w:val="21"/>
              </w:rPr>
            </w:pPr>
            <w:r>
              <w:rPr>
                <w:rFonts w:hint="eastAsia" w:ascii="等线" w:hAnsi="等线" w:eastAsia="等线" w:cs="Times New Roman"/>
                <w:sz w:val="20"/>
                <w:szCs w:val="21"/>
              </w:rPr>
              <w:t>5</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A160">
            <w:pPr>
              <w:rPr>
                <w:rFonts w:ascii="等线" w:hAnsi="等线" w:eastAsia="等线" w:cs="Times New Roman"/>
                <w:sz w:val="20"/>
                <w:szCs w:val="21"/>
              </w:rPr>
            </w:pPr>
            <w:r>
              <w:rPr>
                <w:rFonts w:hint="eastAsia" w:ascii="等线" w:hAnsi="等线" w:eastAsia="等线" w:cs="Times New Roman"/>
                <w:sz w:val="20"/>
                <w:szCs w:val="21"/>
              </w:rPr>
              <w:t>工作积极主动、及时、到位，正确使用服务用语，提供耐心、周到的服务；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D7E8">
            <w:pPr>
              <w:jc w:val="center"/>
              <w:rPr>
                <w:rFonts w:ascii="等线" w:hAnsi="等线" w:eastAsia="等线" w:cs="Times New Roman"/>
                <w:sz w:val="20"/>
                <w:szCs w:val="21"/>
              </w:rPr>
            </w:pPr>
            <w:r>
              <w:rPr>
                <w:rFonts w:hint="eastAsia" w:ascii="等线" w:hAnsi="等线" w:eastAsia="等线" w:cs="Times New Roman"/>
                <w:sz w:val="20"/>
                <w:szCs w:val="21"/>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DF2E">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EA50">
            <w:pPr>
              <w:rPr>
                <w:rFonts w:ascii="等线" w:hAnsi="等线" w:eastAsia="等线" w:cs="Times New Roman"/>
                <w:sz w:val="20"/>
                <w:szCs w:val="21"/>
              </w:rPr>
            </w:pPr>
          </w:p>
        </w:tc>
      </w:tr>
      <w:tr w14:paraId="6126750A">
        <w:tblPrEx>
          <w:tblCellMar>
            <w:top w:w="0" w:type="dxa"/>
            <w:left w:w="108" w:type="dxa"/>
            <w:bottom w:w="0" w:type="dxa"/>
            <w:right w:w="108" w:type="dxa"/>
          </w:tblCellMar>
        </w:tblPrEx>
        <w:trPr>
          <w:trHeight w:val="300" w:hRule="atLeast"/>
          <w:jc w:val="center"/>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14:paraId="176E81FA">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038E">
            <w:pPr>
              <w:jc w:val="center"/>
              <w:rPr>
                <w:rFonts w:ascii="等线" w:hAnsi="等线" w:eastAsia="等线" w:cs="Times New Roman"/>
                <w:sz w:val="20"/>
                <w:szCs w:val="21"/>
              </w:rPr>
            </w:pPr>
            <w:r>
              <w:rPr>
                <w:rFonts w:hint="eastAsia" w:ascii="等线" w:hAnsi="等线" w:eastAsia="等线" w:cs="Times New Roman"/>
                <w:sz w:val="20"/>
                <w:szCs w:val="21"/>
              </w:rPr>
              <w:t>6</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06C0">
            <w:pPr>
              <w:rPr>
                <w:rFonts w:ascii="等线" w:hAnsi="等线" w:eastAsia="等线" w:cs="Times New Roman"/>
                <w:sz w:val="20"/>
                <w:szCs w:val="21"/>
              </w:rPr>
            </w:pPr>
            <w:r>
              <w:rPr>
                <w:rFonts w:hint="eastAsia" w:ascii="等线" w:hAnsi="等线" w:eastAsia="等线" w:cs="Times New Roman"/>
                <w:sz w:val="20"/>
                <w:szCs w:val="21"/>
              </w:rPr>
              <w:t>与甲方管理人员保持良好的沟通联系，及时解决工作中出现的问题；</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B503">
            <w:pPr>
              <w:jc w:val="center"/>
              <w:rPr>
                <w:rFonts w:ascii="等线" w:hAnsi="等线" w:eastAsia="等线" w:cs="Times New Roman"/>
                <w:sz w:val="20"/>
                <w:szCs w:val="21"/>
              </w:rPr>
            </w:pPr>
            <w:r>
              <w:rPr>
                <w:rFonts w:hint="eastAsia" w:ascii="等线" w:hAnsi="等线" w:eastAsia="等线" w:cs="Times New Roman"/>
                <w:sz w:val="20"/>
                <w:szCs w:val="21"/>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15F3">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C74B">
            <w:pPr>
              <w:rPr>
                <w:rFonts w:ascii="等线" w:hAnsi="等线" w:eastAsia="等线" w:cs="Times New Roman"/>
                <w:sz w:val="20"/>
                <w:szCs w:val="21"/>
              </w:rPr>
            </w:pPr>
          </w:p>
        </w:tc>
      </w:tr>
      <w:tr w14:paraId="69D8E8C1">
        <w:tblPrEx>
          <w:tblCellMar>
            <w:top w:w="0" w:type="dxa"/>
            <w:left w:w="108" w:type="dxa"/>
            <w:bottom w:w="0" w:type="dxa"/>
            <w:right w:w="108" w:type="dxa"/>
          </w:tblCellMar>
        </w:tblPrEx>
        <w:trPr>
          <w:trHeight w:val="300" w:hRule="atLeast"/>
          <w:jc w:val="center"/>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14:paraId="1B64F6F2">
            <w:pPr>
              <w:rPr>
                <w:rFonts w:ascii="等线" w:hAnsi="等线" w:eastAsia="等线" w:cs="Times New Roman"/>
                <w:sz w:val="20"/>
                <w:szCs w:val="21"/>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747D">
            <w:pPr>
              <w:jc w:val="center"/>
              <w:rPr>
                <w:rFonts w:ascii="等线" w:hAnsi="等线" w:eastAsia="等线" w:cs="Times New Roman"/>
                <w:sz w:val="20"/>
                <w:szCs w:val="21"/>
              </w:rPr>
            </w:pPr>
            <w:r>
              <w:rPr>
                <w:rFonts w:hint="eastAsia" w:ascii="等线" w:hAnsi="等线" w:eastAsia="等线" w:cs="Times New Roman"/>
                <w:sz w:val="20"/>
                <w:szCs w:val="21"/>
              </w:rPr>
              <w:t>7</w:t>
            </w:r>
          </w:p>
        </w:tc>
        <w:tc>
          <w:tcPr>
            <w:tcW w:w="6093" w:type="dxa"/>
            <w:tcBorders>
              <w:top w:val="single" w:color="000000" w:sz="4" w:space="0"/>
              <w:left w:val="single" w:color="000000" w:sz="4" w:space="0"/>
              <w:bottom w:val="nil"/>
              <w:right w:val="single" w:color="000000" w:sz="4" w:space="0"/>
            </w:tcBorders>
            <w:shd w:val="clear" w:color="auto" w:fill="auto"/>
            <w:vAlign w:val="center"/>
          </w:tcPr>
          <w:p w14:paraId="5B1B9954">
            <w:pPr>
              <w:rPr>
                <w:rFonts w:ascii="等线" w:hAnsi="等线" w:eastAsia="等线" w:cs="Times New Roman"/>
                <w:sz w:val="20"/>
                <w:szCs w:val="21"/>
              </w:rPr>
            </w:pPr>
            <w:r>
              <w:rPr>
                <w:rFonts w:hint="eastAsia" w:ascii="等线" w:hAnsi="等线" w:eastAsia="等线" w:cs="Times New Roman"/>
                <w:sz w:val="20"/>
                <w:szCs w:val="21"/>
              </w:rPr>
              <w:t>乙方应确保服务质量，服务态度好，无人员举报、投诉或纠纷。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1504">
            <w:pPr>
              <w:jc w:val="center"/>
              <w:rPr>
                <w:rFonts w:ascii="等线" w:hAnsi="等线" w:eastAsia="等线" w:cs="Times New Roman"/>
                <w:sz w:val="20"/>
                <w:szCs w:val="21"/>
              </w:rPr>
            </w:pPr>
            <w:r>
              <w:rPr>
                <w:rFonts w:hint="eastAsia" w:ascii="等线" w:hAnsi="等线" w:eastAsia="等线" w:cs="Times New Roman"/>
                <w:sz w:val="20"/>
                <w:szCs w:val="21"/>
              </w:rPr>
              <w:t>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0AB3">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6378">
            <w:pPr>
              <w:rPr>
                <w:rFonts w:ascii="等线" w:hAnsi="等线" w:eastAsia="等线" w:cs="Times New Roman"/>
                <w:sz w:val="20"/>
                <w:szCs w:val="21"/>
              </w:rPr>
            </w:pPr>
          </w:p>
        </w:tc>
      </w:tr>
      <w:tr w14:paraId="21445DC6">
        <w:tblPrEx>
          <w:tblCellMar>
            <w:top w:w="0" w:type="dxa"/>
            <w:left w:w="108" w:type="dxa"/>
            <w:bottom w:w="0" w:type="dxa"/>
            <w:right w:w="108" w:type="dxa"/>
          </w:tblCellMar>
        </w:tblPrEx>
        <w:trPr>
          <w:trHeight w:val="285" w:hRule="atLeast"/>
          <w:jc w:val="center"/>
        </w:trPr>
        <w:tc>
          <w:tcPr>
            <w:tcW w:w="72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1F30">
            <w:pPr>
              <w:rPr>
                <w:rFonts w:ascii="等线" w:hAnsi="等线" w:eastAsia="等线" w:cs="Times New Roman"/>
                <w:sz w:val="20"/>
                <w:szCs w:val="21"/>
              </w:rPr>
            </w:pPr>
            <w:r>
              <w:rPr>
                <w:rFonts w:hint="eastAsia" w:ascii="等线" w:hAnsi="等线" w:eastAsia="等线" w:cs="Times New Roman"/>
                <w:sz w:val="20"/>
                <w:szCs w:val="21"/>
              </w:rPr>
              <w:t>合计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3D92">
            <w:pPr>
              <w:rPr>
                <w:rFonts w:ascii="等线" w:hAnsi="等线" w:eastAsia="等线" w:cs="Times New Roman"/>
                <w:sz w:val="20"/>
                <w:szCs w:val="21"/>
              </w:rPr>
            </w:pPr>
            <w:r>
              <w:rPr>
                <w:rFonts w:hint="eastAsia" w:ascii="等线" w:hAnsi="等线" w:eastAsia="等线" w:cs="Times New Roman"/>
                <w:sz w:val="20"/>
                <w:szCs w:val="21"/>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C84E">
            <w:pPr>
              <w:rPr>
                <w:rFonts w:ascii="等线" w:hAnsi="等线" w:eastAsia="等线" w:cs="Times New Roman"/>
                <w:sz w:val="2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3001">
            <w:pPr>
              <w:rPr>
                <w:rFonts w:ascii="等线" w:hAnsi="等线" w:eastAsia="等线" w:cs="Times New Roman"/>
                <w:sz w:val="20"/>
                <w:szCs w:val="21"/>
              </w:rPr>
            </w:pPr>
          </w:p>
        </w:tc>
      </w:tr>
      <w:tr w14:paraId="33B2FABC">
        <w:tblPrEx>
          <w:tblCellMar>
            <w:top w:w="0" w:type="dxa"/>
            <w:left w:w="108" w:type="dxa"/>
            <w:bottom w:w="0" w:type="dxa"/>
            <w:right w:w="108" w:type="dxa"/>
          </w:tblCellMar>
        </w:tblPrEx>
        <w:trPr>
          <w:trHeight w:val="285" w:hRule="atLeast"/>
          <w:jc w:val="center"/>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2C60">
            <w:pPr>
              <w:rPr>
                <w:rFonts w:ascii="等线" w:hAnsi="等线" w:eastAsia="等线" w:cs="Times New Roman"/>
                <w:sz w:val="20"/>
                <w:szCs w:val="21"/>
              </w:rPr>
            </w:pPr>
            <w:r>
              <w:rPr>
                <w:rFonts w:hint="eastAsia" w:ascii="等线" w:hAnsi="等线" w:eastAsia="等线" w:cs="Times New Roman"/>
                <w:sz w:val="20"/>
                <w:szCs w:val="21"/>
              </w:rPr>
              <w:t>备注：</w:t>
            </w:r>
          </w:p>
        </w:tc>
        <w:tc>
          <w:tcPr>
            <w:tcW w:w="80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894899">
            <w:pPr>
              <w:rPr>
                <w:rFonts w:ascii="等线" w:hAnsi="等线" w:eastAsia="等线" w:cs="Times New Roman"/>
                <w:sz w:val="20"/>
                <w:szCs w:val="21"/>
              </w:rPr>
            </w:pPr>
            <w:r>
              <w:rPr>
                <w:rFonts w:hint="eastAsia" w:ascii="等线" w:hAnsi="等线" w:eastAsia="等线" w:cs="Times New Roman"/>
                <w:sz w:val="20"/>
                <w:szCs w:val="21"/>
              </w:rPr>
              <w:t>每月考核一次，90分（含90分）以上为合格，低于90分每1分扣500元；低于80分可解除合同</w:t>
            </w:r>
          </w:p>
        </w:tc>
      </w:tr>
      <w:tr w14:paraId="5131BA29">
        <w:tblPrEx>
          <w:tblCellMar>
            <w:top w:w="0" w:type="dxa"/>
            <w:left w:w="108" w:type="dxa"/>
            <w:bottom w:w="0" w:type="dxa"/>
            <w:right w:w="108" w:type="dxa"/>
          </w:tblCellMar>
        </w:tblPrEx>
        <w:trPr>
          <w:trHeight w:val="312" w:hRule="atLeast"/>
          <w:jc w:val="center"/>
        </w:trPr>
        <w:tc>
          <w:tcPr>
            <w:tcW w:w="9184" w:type="dxa"/>
            <w:gridSpan w:val="6"/>
            <w:vMerge w:val="restart"/>
            <w:tcBorders>
              <w:top w:val="nil"/>
              <w:left w:val="nil"/>
              <w:bottom w:val="nil"/>
              <w:right w:val="nil"/>
            </w:tcBorders>
            <w:shd w:val="clear" w:color="auto" w:fill="auto"/>
            <w:noWrap/>
            <w:vAlign w:val="center"/>
          </w:tcPr>
          <w:p w14:paraId="7449E060">
            <w:pPr>
              <w:rPr>
                <w:rFonts w:ascii="等线" w:hAnsi="等线" w:eastAsia="等线" w:cs="Times New Roman"/>
                <w:sz w:val="20"/>
                <w:szCs w:val="21"/>
              </w:rPr>
            </w:pPr>
            <w:r>
              <w:rPr>
                <w:rFonts w:hint="eastAsia" w:ascii="等线" w:hAnsi="等线" w:eastAsia="等线" w:cs="Times New Roman"/>
                <w:sz w:val="20"/>
                <w:szCs w:val="21"/>
              </w:rPr>
              <w:t>考核部门：                                                              维保公司：</w:t>
            </w:r>
          </w:p>
        </w:tc>
      </w:tr>
      <w:tr w14:paraId="001D4298">
        <w:tblPrEx>
          <w:tblCellMar>
            <w:top w:w="0" w:type="dxa"/>
            <w:left w:w="108" w:type="dxa"/>
            <w:bottom w:w="0" w:type="dxa"/>
            <w:right w:w="108" w:type="dxa"/>
          </w:tblCellMar>
        </w:tblPrEx>
        <w:trPr>
          <w:trHeight w:val="520" w:hRule="atLeast"/>
          <w:jc w:val="center"/>
        </w:trPr>
        <w:tc>
          <w:tcPr>
            <w:tcW w:w="9184" w:type="dxa"/>
            <w:gridSpan w:val="6"/>
            <w:vMerge w:val="continue"/>
            <w:tcBorders>
              <w:top w:val="nil"/>
              <w:left w:val="nil"/>
              <w:bottom w:val="nil"/>
              <w:right w:val="nil"/>
            </w:tcBorders>
            <w:shd w:val="clear" w:color="auto" w:fill="auto"/>
            <w:noWrap/>
            <w:vAlign w:val="center"/>
          </w:tcPr>
          <w:p w14:paraId="7BBF9753">
            <w:pPr>
              <w:rPr>
                <w:rFonts w:ascii="等线" w:hAnsi="等线" w:eastAsia="等线" w:cs="Times New Roman"/>
                <w:sz w:val="20"/>
                <w:szCs w:val="21"/>
              </w:rPr>
            </w:pPr>
          </w:p>
        </w:tc>
      </w:tr>
      <w:tr w14:paraId="273340DC">
        <w:tblPrEx>
          <w:tblCellMar>
            <w:top w:w="0" w:type="dxa"/>
            <w:left w:w="108" w:type="dxa"/>
            <w:bottom w:w="0" w:type="dxa"/>
            <w:right w:w="108" w:type="dxa"/>
          </w:tblCellMar>
        </w:tblPrEx>
        <w:trPr>
          <w:trHeight w:val="312" w:hRule="atLeast"/>
          <w:jc w:val="center"/>
        </w:trPr>
        <w:tc>
          <w:tcPr>
            <w:tcW w:w="9184" w:type="dxa"/>
            <w:gridSpan w:val="6"/>
            <w:vMerge w:val="continue"/>
            <w:tcBorders>
              <w:top w:val="nil"/>
              <w:left w:val="nil"/>
              <w:bottom w:val="nil"/>
              <w:right w:val="nil"/>
            </w:tcBorders>
            <w:shd w:val="clear" w:color="auto" w:fill="auto"/>
            <w:noWrap/>
            <w:vAlign w:val="center"/>
          </w:tcPr>
          <w:p w14:paraId="7D906302">
            <w:pPr>
              <w:rPr>
                <w:rFonts w:ascii="等线" w:hAnsi="等线" w:eastAsia="等线" w:cs="Times New Roman"/>
                <w:sz w:val="20"/>
                <w:szCs w:val="21"/>
              </w:rPr>
            </w:pPr>
          </w:p>
        </w:tc>
      </w:tr>
      <w:bookmarkEnd w:id="0"/>
    </w:tbl>
    <w:p w14:paraId="29EC54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none"/>
          <w:lang w:val="en-US" w:eastAsia="zh-CN"/>
        </w:rPr>
      </w:pPr>
    </w:p>
    <w:sectPr>
      <w:pgSz w:w="11906" w:h="16838"/>
      <w:pgMar w:top="1417" w:right="1417" w:bottom="1417" w:left="1417"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747C2">
    <w:pPr>
      <w:pStyle w:val="19"/>
      <w:jc w:val="right"/>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iMjEwYWM5MjlhZDgxZmM3MzEwMzNkNzAwNzI3MjMifQ=="/>
  </w:docVars>
  <w:rsids>
    <w:rsidRoot w:val="00974403"/>
    <w:rsid w:val="000028B9"/>
    <w:rsid w:val="00012280"/>
    <w:rsid w:val="000240E9"/>
    <w:rsid w:val="00037D49"/>
    <w:rsid w:val="00044B1C"/>
    <w:rsid w:val="00044EBB"/>
    <w:rsid w:val="00062193"/>
    <w:rsid w:val="00064676"/>
    <w:rsid w:val="000701C7"/>
    <w:rsid w:val="00070EDC"/>
    <w:rsid w:val="00084249"/>
    <w:rsid w:val="00090B12"/>
    <w:rsid w:val="00093D99"/>
    <w:rsid w:val="000B53FE"/>
    <w:rsid w:val="000B5784"/>
    <w:rsid w:val="000E23C1"/>
    <w:rsid w:val="00102619"/>
    <w:rsid w:val="00112CB2"/>
    <w:rsid w:val="001136AF"/>
    <w:rsid w:val="00121EC2"/>
    <w:rsid w:val="00121F06"/>
    <w:rsid w:val="00124F3C"/>
    <w:rsid w:val="0012536F"/>
    <w:rsid w:val="0012656A"/>
    <w:rsid w:val="0013100A"/>
    <w:rsid w:val="0013109A"/>
    <w:rsid w:val="00134054"/>
    <w:rsid w:val="00136777"/>
    <w:rsid w:val="00140E9E"/>
    <w:rsid w:val="00145745"/>
    <w:rsid w:val="00150063"/>
    <w:rsid w:val="00167787"/>
    <w:rsid w:val="00176481"/>
    <w:rsid w:val="0018746D"/>
    <w:rsid w:val="00187E8D"/>
    <w:rsid w:val="00190703"/>
    <w:rsid w:val="0019155A"/>
    <w:rsid w:val="00192925"/>
    <w:rsid w:val="0019343E"/>
    <w:rsid w:val="001B2950"/>
    <w:rsid w:val="001B4F52"/>
    <w:rsid w:val="001B64B4"/>
    <w:rsid w:val="001C2D3A"/>
    <w:rsid w:val="001C3415"/>
    <w:rsid w:val="001C7134"/>
    <w:rsid w:val="001D4ECF"/>
    <w:rsid w:val="001F0439"/>
    <w:rsid w:val="001F0BF4"/>
    <w:rsid w:val="00201E58"/>
    <w:rsid w:val="00210A7B"/>
    <w:rsid w:val="00227EA1"/>
    <w:rsid w:val="002304E4"/>
    <w:rsid w:val="00230632"/>
    <w:rsid w:val="00234C91"/>
    <w:rsid w:val="0024171A"/>
    <w:rsid w:val="0024595A"/>
    <w:rsid w:val="00251C66"/>
    <w:rsid w:val="002559A0"/>
    <w:rsid w:val="0026444F"/>
    <w:rsid w:val="002645ED"/>
    <w:rsid w:val="002669BB"/>
    <w:rsid w:val="00267071"/>
    <w:rsid w:val="00270BE8"/>
    <w:rsid w:val="00273182"/>
    <w:rsid w:val="002742EE"/>
    <w:rsid w:val="00274E98"/>
    <w:rsid w:val="00276E1A"/>
    <w:rsid w:val="00286CFA"/>
    <w:rsid w:val="002A0A88"/>
    <w:rsid w:val="002A1E0B"/>
    <w:rsid w:val="002A2962"/>
    <w:rsid w:val="002A2C85"/>
    <w:rsid w:val="002A5579"/>
    <w:rsid w:val="002B53BE"/>
    <w:rsid w:val="002B7AC5"/>
    <w:rsid w:val="002C0D00"/>
    <w:rsid w:val="002E38DB"/>
    <w:rsid w:val="002E4F44"/>
    <w:rsid w:val="002F2248"/>
    <w:rsid w:val="002F3097"/>
    <w:rsid w:val="0030089B"/>
    <w:rsid w:val="00306ACF"/>
    <w:rsid w:val="00307883"/>
    <w:rsid w:val="0030796E"/>
    <w:rsid w:val="00314FCC"/>
    <w:rsid w:val="003215FD"/>
    <w:rsid w:val="00323604"/>
    <w:rsid w:val="00324225"/>
    <w:rsid w:val="00326FBE"/>
    <w:rsid w:val="003305F3"/>
    <w:rsid w:val="003347E3"/>
    <w:rsid w:val="0035220E"/>
    <w:rsid w:val="00352AFF"/>
    <w:rsid w:val="003557DC"/>
    <w:rsid w:val="003574F4"/>
    <w:rsid w:val="00357B90"/>
    <w:rsid w:val="00365DF9"/>
    <w:rsid w:val="003673EF"/>
    <w:rsid w:val="0037233B"/>
    <w:rsid w:val="00377B42"/>
    <w:rsid w:val="003805CB"/>
    <w:rsid w:val="00384F47"/>
    <w:rsid w:val="00395516"/>
    <w:rsid w:val="00396950"/>
    <w:rsid w:val="00396E96"/>
    <w:rsid w:val="003A18E6"/>
    <w:rsid w:val="003A3E5A"/>
    <w:rsid w:val="003A4D60"/>
    <w:rsid w:val="003A5907"/>
    <w:rsid w:val="003A649B"/>
    <w:rsid w:val="003C1779"/>
    <w:rsid w:val="003C3E05"/>
    <w:rsid w:val="003D32F4"/>
    <w:rsid w:val="003D66F4"/>
    <w:rsid w:val="003E25FE"/>
    <w:rsid w:val="003E4AFC"/>
    <w:rsid w:val="003F2425"/>
    <w:rsid w:val="003F2CBF"/>
    <w:rsid w:val="003F2FD0"/>
    <w:rsid w:val="0041086F"/>
    <w:rsid w:val="00411394"/>
    <w:rsid w:val="00415F3A"/>
    <w:rsid w:val="00433547"/>
    <w:rsid w:val="004363D6"/>
    <w:rsid w:val="00442B63"/>
    <w:rsid w:val="00443D68"/>
    <w:rsid w:val="00445AE3"/>
    <w:rsid w:val="00451E26"/>
    <w:rsid w:val="004528B0"/>
    <w:rsid w:val="00460182"/>
    <w:rsid w:val="004613CC"/>
    <w:rsid w:val="00465CDF"/>
    <w:rsid w:val="004769CE"/>
    <w:rsid w:val="00480578"/>
    <w:rsid w:val="004942EA"/>
    <w:rsid w:val="0049527C"/>
    <w:rsid w:val="004C5A10"/>
    <w:rsid w:val="004D54C1"/>
    <w:rsid w:val="004D5F4D"/>
    <w:rsid w:val="004E7DCE"/>
    <w:rsid w:val="004F07DE"/>
    <w:rsid w:val="004F178D"/>
    <w:rsid w:val="00511440"/>
    <w:rsid w:val="005303F4"/>
    <w:rsid w:val="00543FC3"/>
    <w:rsid w:val="00544C78"/>
    <w:rsid w:val="00550FBE"/>
    <w:rsid w:val="00555F29"/>
    <w:rsid w:val="00560AC0"/>
    <w:rsid w:val="00562031"/>
    <w:rsid w:val="00563854"/>
    <w:rsid w:val="0057114B"/>
    <w:rsid w:val="00574FE3"/>
    <w:rsid w:val="005873CA"/>
    <w:rsid w:val="005A2693"/>
    <w:rsid w:val="005A77A4"/>
    <w:rsid w:val="005B2FFF"/>
    <w:rsid w:val="005C0910"/>
    <w:rsid w:val="005C3F2B"/>
    <w:rsid w:val="005C5339"/>
    <w:rsid w:val="005D0F84"/>
    <w:rsid w:val="005D1D5C"/>
    <w:rsid w:val="005D4810"/>
    <w:rsid w:val="005E2260"/>
    <w:rsid w:val="005F0EE4"/>
    <w:rsid w:val="005F17DB"/>
    <w:rsid w:val="005F4163"/>
    <w:rsid w:val="005F69CB"/>
    <w:rsid w:val="005F73D6"/>
    <w:rsid w:val="0060329A"/>
    <w:rsid w:val="00606428"/>
    <w:rsid w:val="00607854"/>
    <w:rsid w:val="00622BB1"/>
    <w:rsid w:val="006247CC"/>
    <w:rsid w:val="00625609"/>
    <w:rsid w:val="00625B01"/>
    <w:rsid w:val="00630B56"/>
    <w:rsid w:val="006349ED"/>
    <w:rsid w:val="006400E1"/>
    <w:rsid w:val="00644861"/>
    <w:rsid w:val="00651CE9"/>
    <w:rsid w:val="00652A37"/>
    <w:rsid w:val="006566AF"/>
    <w:rsid w:val="0066278A"/>
    <w:rsid w:val="006743CF"/>
    <w:rsid w:val="00676A1D"/>
    <w:rsid w:val="00683DB0"/>
    <w:rsid w:val="00690D58"/>
    <w:rsid w:val="00694776"/>
    <w:rsid w:val="00695DB8"/>
    <w:rsid w:val="00696216"/>
    <w:rsid w:val="006B520D"/>
    <w:rsid w:val="006C4E2D"/>
    <w:rsid w:val="006C4E98"/>
    <w:rsid w:val="006D1CAD"/>
    <w:rsid w:val="006D2234"/>
    <w:rsid w:val="006D338C"/>
    <w:rsid w:val="006D5D96"/>
    <w:rsid w:val="006E08FF"/>
    <w:rsid w:val="006E1E4F"/>
    <w:rsid w:val="006F73AB"/>
    <w:rsid w:val="00700C18"/>
    <w:rsid w:val="00706419"/>
    <w:rsid w:val="00710876"/>
    <w:rsid w:val="00711645"/>
    <w:rsid w:val="0072645F"/>
    <w:rsid w:val="007347FB"/>
    <w:rsid w:val="007349C8"/>
    <w:rsid w:val="00735809"/>
    <w:rsid w:val="00754994"/>
    <w:rsid w:val="00755A3F"/>
    <w:rsid w:val="00756B9B"/>
    <w:rsid w:val="00763C23"/>
    <w:rsid w:val="00772F53"/>
    <w:rsid w:val="00784610"/>
    <w:rsid w:val="00785B34"/>
    <w:rsid w:val="00787768"/>
    <w:rsid w:val="00790CC3"/>
    <w:rsid w:val="00791219"/>
    <w:rsid w:val="00791D8F"/>
    <w:rsid w:val="007A2B26"/>
    <w:rsid w:val="007A3173"/>
    <w:rsid w:val="007A73FB"/>
    <w:rsid w:val="007B2DFA"/>
    <w:rsid w:val="007B7467"/>
    <w:rsid w:val="007C1712"/>
    <w:rsid w:val="007C2225"/>
    <w:rsid w:val="007C2A58"/>
    <w:rsid w:val="007C3628"/>
    <w:rsid w:val="007D7FDC"/>
    <w:rsid w:val="007E6766"/>
    <w:rsid w:val="007F02ED"/>
    <w:rsid w:val="007F330F"/>
    <w:rsid w:val="007F438A"/>
    <w:rsid w:val="007F6111"/>
    <w:rsid w:val="007F730A"/>
    <w:rsid w:val="00810524"/>
    <w:rsid w:val="00812484"/>
    <w:rsid w:val="00820657"/>
    <w:rsid w:val="008410A8"/>
    <w:rsid w:val="0084413D"/>
    <w:rsid w:val="00846E62"/>
    <w:rsid w:val="00855EE3"/>
    <w:rsid w:val="00860537"/>
    <w:rsid w:val="00861C72"/>
    <w:rsid w:val="00863F45"/>
    <w:rsid w:val="00870626"/>
    <w:rsid w:val="00873828"/>
    <w:rsid w:val="00873DEF"/>
    <w:rsid w:val="00883E45"/>
    <w:rsid w:val="00896C19"/>
    <w:rsid w:val="008A6BF0"/>
    <w:rsid w:val="008B61FA"/>
    <w:rsid w:val="008B6E1E"/>
    <w:rsid w:val="008B7B63"/>
    <w:rsid w:val="008B7C53"/>
    <w:rsid w:val="008C3210"/>
    <w:rsid w:val="008C43B2"/>
    <w:rsid w:val="008D1166"/>
    <w:rsid w:val="008D2B71"/>
    <w:rsid w:val="008E6633"/>
    <w:rsid w:val="008E763E"/>
    <w:rsid w:val="008F1C36"/>
    <w:rsid w:val="00900A9C"/>
    <w:rsid w:val="0090190F"/>
    <w:rsid w:val="00906172"/>
    <w:rsid w:val="00912D92"/>
    <w:rsid w:val="009135E6"/>
    <w:rsid w:val="009144B0"/>
    <w:rsid w:val="00922CC3"/>
    <w:rsid w:val="00930758"/>
    <w:rsid w:val="00931655"/>
    <w:rsid w:val="00932BCC"/>
    <w:rsid w:val="00944A93"/>
    <w:rsid w:val="00945393"/>
    <w:rsid w:val="00946919"/>
    <w:rsid w:val="00951755"/>
    <w:rsid w:val="00952BE7"/>
    <w:rsid w:val="00954035"/>
    <w:rsid w:val="0095504E"/>
    <w:rsid w:val="00955F1E"/>
    <w:rsid w:val="00974403"/>
    <w:rsid w:val="00997C48"/>
    <w:rsid w:val="009B0343"/>
    <w:rsid w:val="009C6915"/>
    <w:rsid w:val="009D288F"/>
    <w:rsid w:val="009F4BB1"/>
    <w:rsid w:val="009F583C"/>
    <w:rsid w:val="00A01EA7"/>
    <w:rsid w:val="00A1004F"/>
    <w:rsid w:val="00A1591D"/>
    <w:rsid w:val="00A25050"/>
    <w:rsid w:val="00A32E53"/>
    <w:rsid w:val="00A334A7"/>
    <w:rsid w:val="00A34882"/>
    <w:rsid w:val="00A4239A"/>
    <w:rsid w:val="00A456A4"/>
    <w:rsid w:val="00A51848"/>
    <w:rsid w:val="00A51FCE"/>
    <w:rsid w:val="00A5612E"/>
    <w:rsid w:val="00A56BDC"/>
    <w:rsid w:val="00A63D71"/>
    <w:rsid w:val="00A7531A"/>
    <w:rsid w:val="00A770F6"/>
    <w:rsid w:val="00A806FC"/>
    <w:rsid w:val="00A903DB"/>
    <w:rsid w:val="00A965FB"/>
    <w:rsid w:val="00A970EA"/>
    <w:rsid w:val="00AA2D91"/>
    <w:rsid w:val="00AB1604"/>
    <w:rsid w:val="00AB49A4"/>
    <w:rsid w:val="00AC343C"/>
    <w:rsid w:val="00AE030E"/>
    <w:rsid w:val="00AE2259"/>
    <w:rsid w:val="00AE2646"/>
    <w:rsid w:val="00AF0A13"/>
    <w:rsid w:val="00B10997"/>
    <w:rsid w:val="00B10B0D"/>
    <w:rsid w:val="00B139E6"/>
    <w:rsid w:val="00B17F9E"/>
    <w:rsid w:val="00B26AE6"/>
    <w:rsid w:val="00B31773"/>
    <w:rsid w:val="00B3490C"/>
    <w:rsid w:val="00B35AE5"/>
    <w:rsid w:val="00B463CA"/>
    <w:rsid w:val="00B47745"/>
    <w:rsid w:val="00B52775"/>
    <w:rsid w:val="00B546AC"/>
    <w:rsid w:val="00B6141C"/>
    <w:rsid w:val="00B675B1"/>
    <w:rsid w:val="00B77BBE"/>
    <w:rsid w:val="00B80B85"/>
    <w:rsid w:val="00B823D4"/>
    <w:rsid w:val="00B91369"/>
    <w:rsid w:val="00B919BB"/>
    <w:rsid w:val="00B92873"/>
    <w:rsid w:val="00B95D5F"/>
    <w:rsid w:val="00B97340"/>
    <w:rsid w:val="00B97F80"/>
    <w:rsid w:val="00BA1825"/>
    <w:rsid w:val="00BA1CF6"/>
    <w:rsid w:val="00BA5566"/>
    <w:rsid w:val="00BB0C87"/>
    <w:rsid w:val="00BB405A"/>
    <w:rsid w:val="00BB5081"/>
    <w:rsid w:val="00BC18F8"/>
    <w:rsid w:val="00BC4257"/>
    <w:rsid w:val="00BC5341"/>
    <w:rsid w:val="00BD4C23"/>
    <w:rsid w:val="00BE5538"/>
    <w:rsid w:val="00BF0407"/>
    <w:rsid w:val="00BF12E6"/>
    <w:rsid w:val="00C117F2"/>
    <w:rsid w:val="00C15665"/>
    <w:rsid w:val="00C17F01"/>
    <w:rsid w:val="00C27680"/>
    <w:rsid w:val="00C27C28"/>
    <w:rsid w:val="00C306FC"/>
    <w:rsid w:val="00C33663"/>
    <w:rsid w:val="00C3708A"/>
    <w:rsid w:val="00C401CD"/>
    <w:rsid w:val="00C42235"/>
    <w:rsid w:val="00C4533F"/>
    <w:rsid w:val="00C51AF2"/>
    <w:rsid w:val="00C52EF1"/>
    <w:rsid w:val="00C652DA"/>
    <w:rsid w:val="00C70F7B"/>
    <w:rsid w:val="00C810FB"/>
    <w:rsid w:val="00C84AF9"/>
    <w:rsid w:val="00C87891"/>
    <w:rsid w:val="00C97F60"/>
    <w:rsid w:val="00CA06D1"/>
    <w:rsid w:val="00CB1F38"/>
    <w:rsid w:val="00CB500C"/>
    <w:rsid w:val="00CB6F0A"/>
    <w:rsid w:val="00CC6D84"/>
    <w:rsid w:val="00CC74AB"/>
    <w:rsid w:val="00CD2CF2"/>
    <w:rsid w:val="00CD7C63"/>
    <w:rsid w:val="00CE3DBE"/>
    <w:rsid w:val="00CF2061"/>
    <w:rsid w:val="00D0304A"/>
    <w:rsid w:val="00D0336F"/>
    <w:rsid w:val="00D0481F"/>
    <w:rsid w:val="00D04D7E"/>
    <w:rsid w:val="00D07725"/>
    <w:rsid w:val="00D10C67"/>
    <w:rsid w:val="00D20C3A"/>
    <w:rsid w:val="00D34564"/>
    <w:rsid w:val="00D401C9"/>
    <w:rsid w:val="00D40E1D"/>
    <w:rsid w:val="00D51251"/>
    <w:rsid w:val="00D528B9"/>
    <w:rsid w:val="00D567B4"/>
    <w:rsid w:val="00D57E04"/>
    <w:rsid w:val="00D64968"/>
    <w:rsid w:val="00D65A85"/>
    <w:rsid w:val="00D71E4F"/>
    <w:rsid w:val="00D74726"/>
    <w:rsid w:val="00D7682E"/>
    <w:rsid w:val="00D82B3D"/>
    <w:rsid w:val="00D8408A"/>
    <w:rsid w:val="00D8676D"/>
    <w:rsid w:val="00D905C4"/>
    <w:rsid w:val="00D96A00"/>
    <w:rsid w:val="00DA33B8"/>
    <w:rsid w:val="00DB184B"/>
    <w:rsid w:val="00DB37DC"/>
    <w:rsid w:val="00DB3F47"/>
    <w:rsid w:val="00DC20F0"/>
    <w:rsid w:val="00DD2A4E"/>
    <w:rsid w:val="00DD2B1D"/>
    <w:rsid w:val="00DD3245"/>
    <w:rsid w:val="00DE2D9C"/>
    <w:rsid w:val="00DE62E2"/>
    <w:rsid w:val="00DE75AA"/>
    <w:rsid w:val="00DF1A8C"/>
    <w:rsid w:val="00E00576"/>
    <w:rsid w:val="00E028EC"/>
    <w:rsid w:val="00E041EA"/>
    <w:rsid w:val="00E11370"/>
    <w:rsid w:val="00E12B21"/>
    <w:rsid w:val="00E168DA"/>
    <w:rsid w:val="00E175E9"/>
    <w:rsid w:val="00E20058"/>
    <w:rsid w:val="00E25A6A"/>
    <w:rsid w:val="00E402D2"/>
    <w:rsid w:val="00E410C6"/>
    <w:rsid w:val="00E46402"/>
    <w:rsid w:val="00E52BF4"/>
    <w:rsid w:val="00E70094"/>
    <w:rsid w:val="00E71106"/>
    <w:rsid w:val="00E8036A"/>
    <w:rsid w:val="00E861B3"/>
    <w:rsid w:val="00E92086"/>
    <w:rsid w:val="00E942BA"/>
    <w:rsid w:val="00EA440F"/>
    <w:rsid w:val="00EA6883"/>
    <w:rsid w:val="00EB7436"/>
    <w:rsid w:val="00EB7BB0"/>
    <w:rsid w:val="00EC18CA"/>
    <w:rsid w:val="00EC288A"/>
    <w:rsid w:val="00EC2AB2"/>
    <w:rsid w:val="00EC7FD0"/>
    <w:rsid w:val="00ED1987"/>
    <w:rsid w:val="00ED257C"/>
    <w:rsid w:val="00ED387A"/>
    <w:rsid w:val="00ED39E4"/>
    <w:rsid w:val="00ED75D9"/>
    <w:rsid w:val="00EE05EE"/>
    <w:rsid w:val="00EE3AB0"/>
    <w:rsid w:val="00EE3C6C"/>
    <w:rsid w:val="00EE5FF7"/>
    <w:rsid w:val="00EF14E9"/>
    <w:rsid w:val="00EF2157"/>
    <w:rsid w:val="00EF5796"/>
    <w:rsid w:val="00EF735A"/>
    <w:rsid w:val="00F0474D"/>
    <w:rsid w:val="00F06BE4"/>
    <w:rsid w:val="00F1375A"/>
    <w:rsid w:val="00F15088"/>
    <w:rsid w:val="00F21B5A"/>
    <w:rsid w:val="00F35080"/>
    <w:rsid w:val="00F41785"/>
    <w:rsid w:val="00F46893"/>
    <w:rsid w:val="00F52EB5"/>
    <w:rsid w:val="00F63314"/>
    <w:rsid w:val="00F675DC"/>
    <w:rsid w:val="00F67BCC"/>
    <w:rsid w:val="00F72A4B"/>
    <w:rsid w:val="00F75649"/>
    <w:rsid w:val="00F76CBC"/>
    <w:rsid w:val="00F773E5"/>
    <w:rsid w:val="00F865D2"/>
    <w:rsid w:val="00F86DD9"/>
    <w:rsid w:val="00F92EF4"/>
    <w:rsid w:val="00F9429C"/>
    <w:rsid w:val="00FA4090"/>
    <w:rsid w:val="00FA573D"/>
    <w:rsid w:val="00FA5FA6"/>
    <w:rsid w:val="00FB0780"/>
    <w:rsid w:val="00FB49C2"/>
    <w:rsid w:val="00FB5513"/>
    <w:rsid w:val="00FC3048"/>
    <w:rsid w:val="00FD0507"/>
    <w:rsid w:val="00FE0E24"/>
    <w:rsid w:val="00FE143B"/>
    <w:rsid w:val="00FE2788"/>
    <w:rsid w:val="00FE7EE2"/>
    <w:rsid w:val="010D6846"/>
    <w:rsid w:val="012353B7"/>
    <w:rsid w:val="01336D48"/>
    <w:rsid w:val="013462E9"/>
    <w:rsid w:val="01372BF0"/>
    <w:rsid w:val="01813A41"/>
    <w:rsid w:val="018C519F"/>
    <w:rsid w:val="01A87AFF"/>
    <w:rsid w:val="01CB7837"/>
    <w:rsid w:val="01DF259E"/>
    <w:rsid w:val="024546E1"/>
    <w:rsid w:val="027B1319"/>
    <w:rsid w:val="028B1756"/>
    <w:rsid w:val="029E4167"/>
    <w:rsid w:val="02B052A9"/>
    <w:rsid w:val="02D17C6F"/>
    <w:rsid w:val="033B4533"/>
    <w:rsid w:val="037A3D44"/>
    <w:rsid w:val="039842CF"/>
    <w:rsid w:val="04277C5B"/>
    <w:rsid w:val="046F4701"/>
    <w:rsid w:val="047279AA"/>
    <w:rsid w:val="04AD38D8"/>
    <w:rsid w:val="04E361D8"/>
    <w:rsid w:val="050E6095"/>
    <w:rsid w:val="054C1E5A"/>
    <w:rsid w:val="057611FE"/>
    <w:rsid w:val="05F15F97"/>
    <w:rsid w:val="065809C0"/>
    <w:rsid w:val="06C163D8"/>
    <w:rsid w:val="06CC74EF"/>
    <w:rsid w:val="06CF0C4D"/>
    <w:rsid w:val="06F95798"/>
    <w:rsid w:val="07070040"/>
    <w:rsid w:val="070714A1"/>
    <w:rsid w:val="0732493B"/>
    <w:rsid w:val="076F5B99"/>
    <w:rsid w:val="07AB3E73"/>
    <w:rsid w:val="07AF0AED"/>
    <w:rsid w:val="07D5648B"/>
    <w:rsid w:val="08122176"/>
    <w:rsid w:val="08185D1F"/>
    <w:rsid w:val="083802A3"/>
    <w:rsid w:val="08556D54"/>
    <w:rsid w:val="088E54A4"/>
    <w:rsid w:val="08A47E4B"/>
    <w:rsid w:val="08C21959"/>
    <w:rsid w:val="08CD1C68"/>
    <w:rsid w:val="091A37AC"/>
    <w:rsid w:val="099A5207"/>
    <w:rsid w:val="0A252CFF"/>
    <w:rsid w:val="0A2C7A28"/>
    <w:rsid w:val="0A363866"/>
    <w:rsid w:val="0A3B4909"/>
    <w:rsid w:val="0AB95623"/>
    <w:rsid w:val="0ABE772F"/>
    <w:rsid w:val="0B295A49"/>
    <w:rsid w:val="0B81006F"/>
    <w:rsid w:val="0B822775"/>
    <w:rsid w:val="0BF3690F"/>
    <w:rsid w:val="0BFF061B"/>
    <w:rsid w:val="0C412344"/>
    <w:rsid w:val="0C4A6C5B"/>
    <w:rsid w:val="0CA53682"/>
    <w:rsid w:val="0CC66E3F"/>
    <w:rsid w:val="0CFF4D8F"/>
    <w:rsid w:val="0D07521B"/>
    <w:rsid w:val="0D201378"/>
    <w:rsid w:val="0D6C3477"/>
    <w:rsid w:val="0DB86E1A"/>
    <w:rsid w:val="0E6C6C77"/>
    <w:rsid w:val="0E6E1BEC"/>
    <w:rsid w:val="0EAB4E5E"/>
    <w:rsid w:val="0EC52941"/>
    <w:rsid w:val="0F376F81"/>
    <w:rsid w:val="0F475907"/>
    <w:rsid w:val="0F624DCC"/>
    <w:rsid w:val="0F9C11A8"/>
    <w:rsid w:val="0FA24347"/>
    <w:rsid w:val="0FCB5FDE"/>
    <w:rsid w:val="102A3378"/>
    <w:rsid w:val="106E6132"/>
    <w:rsid w:val="108857A5"/>
    <w:rsid w:val="108E5493"/>
    <w:rsid w:val="10AD283F"/>
    <w:rsid w:val="10D66138"/>
    <w:rsid w:val="11130B81"/>
    <w:rsid w:val="11181AC7"/>
    <w:rsid w:val="11273C28"/>
    <w:rsid w:val="11795E19"/>
    <w:rsid w:val="117C058D"/>
    <w:rsid w:val="11EE3815"/>
    <w:rsid w:val="12040D82"/>
    <w:rsid w:val="12361CB3"/>
    <w:rsid w:val="12406A1B"/>
    <w:rsid w:val="126B2D25"/>
    <w:rsid w:val="12AD3E05"/>
    <w:rsid w:val="12E41603"/>
    <w:rsid w:val="12E5461B"/>
    <w:rsid w:val="137524DD"/>
    <w:rsid w:val="13D0089A"/>
    <w:rsid w:val="14CE7B37"/>
    <w:rsid w:val="14FA1EB7"/>
    <w:rsid w:val="15165850"/>
    <w:rsid w:val="15516CF3"/>
    <w:rsid w:val="15671063"/>
    <w:rsid w:val="157978DD"/>
    <w:rsid w:val="15957ACA"/>
    <w:rsid w:val="159F14ED"/>
    <w:rsid w:val="15F21661"/>
    <w:rsid w:val="16014B45"/>
    <w:rsid w:val="1632480C"/>
    <w:rsid w:val="167C1C16"/>
    <w:rsid w:val="168516DE"/>
    <w:rsid w:val="16A769A2"/>
    <w:rsid w:val="16B65802"/>
    <w:rsid w:val="16F15CAE"/>
    <w:rsid w:val="171025FC"/>
    <w:rsid w:val="17163C06"/>
    <w:rsid w:val="176509F8"/>
    <w:rsid w:val="17795C19"/>
    <w:rsid w:val="17993526"/>
    <w:rsid w:val="17C7529A"/>
    <w:rsid w:val="181D157E"/>
    <w:rsid w:val="18436046"/>
    <w:rsid w:val="18642018"/>
    <w:rsid w:val="18820C52"/>
    <w:rsid w:val="19041D5F"/>
    <w:rsid w:val="1965662A"/>
    <w:rsid w:val="19705133"/>
    <w:rsid w:val="197B5AB0"/>
    <w:rsid w:val="19943759"/>
    <w:rsid w:val="19C24799"/>
    <w:rsid w:val="1A6A5DD8"/>
    <w:rsid w:val="1A991299"/>
    <w:rsid w:val="1B2A4F8C"/>
    <w:rsid w:val="1B4758EB"/>
    <w:rsid w:val="1B614E12"/>
    <w:rsid w:val="1B9753D9"/>
    <w:rsid w:val="1C5F1C4B"/>
    <w:rsid w:val="1C7A236C"/>
    <w:rsid w:val="1CEE054F"/>
    <w:rsid w:val="1D0E3222"/>
    <w:rsid w:val="1D507571"/>
    <w:rsid w:val="1D532BBD"/>
    <w:rsid w:val="1D9224BC"/>
    <w:rsid w:val="1DD44D3A"/>
    <w:rsid w:val="1DEC1BCD"/>
    <w:rsid w:val="1E2929FB"/>
    <w:rsid w:val="1EE8519A"/>
    <w:rsid w:val="1F1B438A"/>
    <w:rsid w:val="1F3423DD"/>
    <w:rsid w:val="1F8E612F"/>
    <w:rsid w:val="1F9951FF"/>
    <w:rsid w:val="1FB92334"/>
    <w:rsid w:val="1FC637AC"/>
    <w:rsid w:val="203066BD"/>
    <w:rsid w:val="205A3400"/>
    <w:rsid w:val="205B2991"/>
    <w:rsid w:val="208B1FA1"/>
    <w:rsid w:val="20D02EA3"/>
    <w:rsid w:val="211A5D24"/>
    <w:rsid w:val="215C2E77"/>
    <w:rsid w:val="219E4D4F"/>
    <w:rsid w:val="21D82128"/>
    <w:rsid w:val="22041E54"/>
    <w:rsid w:val="2229048A"/>
    <w:rsid w:val="224662E1"/>
    <w:rsid w:val="224F636A"/>
    <w:rsid w:val="23804203"/>
    <w:rsid w:val="239D1036"/>
    <w:rsid w:val="23A23091"/>
    <w:rsid w:val="24232C08"/>
    <w:rsid w:val="242C08C9"/>
    <w:rsid w:val="244F138E"/>
    <w:rsid w:val="24BE592A"/>
    <w:rsid w:val="251476E8"/>
    <w:rsid w:val="255A71DF"/>
    <w:rsid w:val="25BB2737"/>
    <w:rsid w:val="25E93E98"/>
    <w:rsid w:val="25EB6FC7"/>
    <w:rsid w:val="263E47F1"/>
    <w:rsid w:val="264F1762"/>
    <w:rsid w:val="2656701A"/>
    <w:rsid w:val="26703BC4"/>
    <w:rsid w:val="26B2243F"/>
    <w:rsid w:val="26B446C5"/>
    <w:rsid w:val="27027B2E"/>
    <w:rsid w:val="272F7121"/>
    <w:rsid w:val="2734558C"/>
    <w:rsid w:val="274A5616"/>
    <w:rsid w:val="27692E22"/>
    <w:rsid w:val="27770A7F"/>
    <w:rsid w:val="286A6B64"/>
    <w:rsid w:val="286D02D5"/>
    <w:rsid w:val="287A61C6"/>
    <w:rsid w:val="28A6500D"/>
    <w:rsid w:val="28C53A2F"/>
    <w:rsid w:val="28C776FB"/>
    <w:rsid w:val="28D320C0"/>
    <w:rsid w:val="28E42965"/>
    <w:rsid w:val="292A511A"/>
    <w:rsid w:val="29474DEB"/>
    <w:rsid w:val="29475959"/>
    <w:rsid w:val="29AC630A"/>
    <w:rsid w:val="29AE22CF"/>
    <w:rsid w:val="29BB5D72"/>
    <w:rsid w:val="29F255E0"/>
    <w:rsid w:val="2A0F4FD5"/>
    <w:rsid w:val="2AC230E7"/>
    <w:rsid w:val="2AC47580"/>
    <w:rsid w:val="2AD71701"/>
    <w:rsid w:val="2AF3313E"/>
    <w:rsid w:val="2B0F2194"/>
    <w:rsid w:val="2B1A3920"/>
    <w:rsid w:val="2B5B780D"/>
    <w:rsid w:val="2B68125F"/>
    <w:rsid w:val="2B6E3E6C"/>
    <w:rsid w:val="2B7E32D2"/>
    <w:rsid w:val="2B945005"/>
    <w:rsid w:val="2BA137E5"/>
    <w:rsid w:val="2BC74344"/>
    <w:rsid w:val="2BD91F9D"/>
    <w:rsid w:val="2C3E381E"/>
    <w:rsid w:val="2C4568BF"/>
    <w:rsid w:val="2C6E3626"/>
    <w:rsid w:val="2C745C6F"/>
    <w:rsid w:val="2C937A17"/>
    <w:rsid w:val="2CA73B0A"/>
    <w:rsid w:val="2CAB366D"/>
    <w:rsid w:val="2CCE400E"/>
    <w:rsid w:val="2D067E6F"/>
    <w:rsid w:val="2D3B5B48"/>
    <w:rsid w:val="2D3C71CA"/>
    <w:rsid w:val="2D497788"/>
    <w:rsid w:val="2DBC3C19"/>
    <w:rsid w:val="2DC717B4"/>
    <w:rsid w:val="2DD510E8"/>
    <w:rsid w:val="2E3D54FA"/>
    <w:rsid w:val="2E627104"/>
    <w:rsid w:val="2E9165B6"/>
    <w:rsid w:val="2E93702D"/>
    <w:rsid w:val="2ECA60D8"/>
    <w:rsid w:val="2F535752"/>
    <w:rsid w:val="2F676D2F"/>
    <w:rsid w:val="2F6E0266"/>
    <w:rsid w:val="2F8A2042"/>
    <w:rsid w:val="2FAF436D"/>
    <w:rsid w:val="30D05D38"/>
    <w:rsid w:val="30EC193C"/>
    <w:rsid w:val="31844BC0"/>
    <w:rsid w:val="319B0539"/>
    <w:rsid w:val="31C2430B"/>
    <w:rsid w:val="31E606B1"/>
    <w:rsid w:val="31F038BA"/>
    <w:rsid w:val="329F5DEA"/>
    <w:rsid w:val="332D32FA"/>
    <w:rsid w:val="33AA207E"/>
    <w:rsid w:val="33B43889"/>
    <w:rsid w:val="34040D17"/>
    <w:rsid w:val="3437424B"/>
    <w:rsid w:val="3482084C"/>
    <w:rsid w:val="348A1163"/>
    <w:rsid w:val="34A40493"/>
    <w:rsid w:val="34F57493"/>
    <w:rsid w:val="35053F76"/>
    <w:rsid w:val="35217298"/>
    <w:rsid w:val="35DC6739"/>
    <w:rsid w:val="361F6F9E"/>
    <w:rsid w:val="364B2438"/>
    <w:rsid w:val="3662343D"/>
    <w:rsid w:val="36AA13C3"/>
    <w:rsid w:val="36C220B8"/>
    <w:rsid w:val="36EC3A0F"/>
    <w:rsid w:val="37785C10"/>
    <w:rsid w:val="37BC3E78"/>
    <w:rsid w:val="38060B00"/>
    <w:rsid w:val="38100FD4"/>
    <w:rsid w:val="383973DC"/>
    <w:rsid w:val="38B31F0D"/>
    <w:rsid w:val="39164D69"/>
    <w:rsid w:val="39401E4E"/>
    <w:rsid w:val="3959430F"/>
    <w:rsid w:val="39AD610D"/>
    <w:rsid w:val="39DB0EED"/>
    <w:rsid w:val="39FC241F"/>
    <w:rsid w:val="3A46129F"/>
    <w:rsid w:val="3A7A7584"/>
    <w:rsid w:val="3A7B13CD"/>
    <w:rsid w:val="3AC91631"/>
    <w:rsid w:val="3AE24497"/>
    <w:rsid w:val="3AE849B0"/>
    <w:rsid w:val="3B503837"/>
    <w:rsid w:val="3B532420"/>
    <w:rsid w:val="3B5A3261"/>
    <w:rsid w:val="3B7641EF"/>
    <w:rsid w:val="3B814DAD"/>
    <w:rsid w:val="3C0E2C9B"/>
    <w:rsid w:val="3C1859FB"/>
    <w:rsid w:val="3C41640F"/>
    <w:rsid w:val="3CAD1E92"/>
    <w:rsid w:val="3CE378C4"/>
    <w:rsid w:val="3CFA1A11"/>
    <w:rsid w:val="3D2E4D81"/>
    <w:rsid w:val="3D4C34F3"/>
    <w:rsid w:val="3D4D7F33"/>
    <w:rsid w:val="3D764A71"/>
    <w:rsid w:val="3D8B33DE"/>
    <w:rsid w:val="3D8D69EA"/>
    <w:rsid w:val="3DFD3021"/>
    <w:rsid w:val="3E052EA6"/>
    <w:rsid w:val="3E1C7D0E"/>
    <w:rsid w:val="3E840769"/>
    <w:rsid w:val="3EB46EC5"/>
    <w:rsid w:val="3F2E44CB"/>
    <w:rsid w:val="3F4E2D65"/>
    <w:rsid w:val="3F590DCC"/>
    <w:rsid w:val="3F9A5770"/>
    <w:rsid w:val="3FCD2DFA"/>
    <w:rsid w:val="4017108C"/>
    <w:rsid w:val="404912BB"/>
    <w:rsid w:val="408E00AB"/>
    <w:rsid w:val="40C643E8"/>
    <w:rsid w:val="40F776A9"/>
    <w:rsid w:val="413C5593"/>
    <w:rsid w:val="416A2582"/>
    <w:rsid w:val="41765972"/>
    <w:rsid w:val="41C04EE8"/>
    <w:rsid w:val="42134546"/>
    <w:rsid w:val="42343303"/>
    <w:rsid w:val="429E4D04"/>
    <w:rsid w:val="42B9333F"/>
    <w:rsid w:val="42BF647C"/>
    <w:rsid w:val="42C6743C"/>
    <w:rsid w:val="42E455AB"/>
    <w:rsid w:val="42FF0CB0"/>
    <w:rsid w:val="431F6F1A"/>
    <w:rsid w:val="4347497B"/>
    <w:rsid w:val="43494444"/>
    <w:rsid w:val="43B951B0"/>
    <w:rsid w:val="43BF39D3"/>
    <w:rsid w:val="43DA1382"/>
    <w:rsid w:val="44223166"/>
    <w:rsid w:val="44312219"/>
    <w:rsid w:val="444F16D0"/>
    <w:rsid w:val="44720C4F"/>
    <w:rsid w:val="449F65ED"/>
    <w:rsid w:val="44AF430B"/>
    <w:rsid w:val="44EB79FC"/>
    <w:rsid w:val="44F21D67"/>
    <w:rsid w:val="45010FCD"/>
    <w:rsid w:val="452C45BC"/>
    <w:rsid w:val="453170D2"/>
    <w:rsid w:val="455235D7"/>
    <w:rsid w:val="4565330A"/>
    <w:rsid w:val="45763F0A"/>
    <w:rsid w:val="45F00C8D"/>
    <w:rsid w:val="460E39A2"/>
    <w:rsid w:val="46152716"/>
    <w:rsid w:val="46392671"/>
    <w:rsid w:val="46486EBC"/>
    <w:rsid w:val="465869CB"/>
    <w:rsid w:val="467D4684"/>
    <w:rsid w:val="46A123AD"/>
    <w:rsid w:val="46CB63B3"/>
    <w:rsid w:val="46DB4D03"/>
    <w:rsid w:val="47362385"/>
    <w:rsid w:val="47753F49"/>
    <w:rsid w:val="47766D9B"/>
    <w:rsid w:val="47E86C85"/>
    <w:rsid w:val="480C7910"/>
    <w:rsid w:val="4822519A"/>
    <w:rsid w:val="487B4E92"/>
    <w:rsid w:val="489912F7"/>
    <w:rsid w:val="48DE3647"/>
    <w:rsid w:val="48E9537E"/>
    <w:rsid w:val="493B39A4"/>
    <w:rsid w:val="49466D4F"/>
    <w:rsid w:val="494C61EB"/>
    <w:rsid w:val="4975141F"/>
    <w:rsid w:val="497C6E74"/>
    <w:rsid w:val="499D7C5A"/>
    <w:rsid w:val="49B36701"/>
    <w:rsid w:val="49CC69AE"/>
    <w:rsid w:val="49EB5DA8"/>
    <w:rsid w:val="4A4C544D"/>
    <w:rsid w:val="4A607EA2"/>
    <w:rsid w:val="4A6C3D4C"/>
    <w:rsid w:val="4A8563B3"/>
    <w:rsid w:val="4A87699A"/>
    <w:rsid w:val="4A8B672F"/>
    <w:rsid w:val="4ADB7BCB"/>
    <w:rsid w:val="4B1F77AE"/>
    <w:rsid w:val="4B441434"/>
    <w:rsid w:val="4BC011EC"/>
    <w:rsid w:val="4BF27FCE"/>
    <w:rsid w:val="4C1806E1"/>
    <w:rsid w:val="4C562B1F"/>
    <w:rsid w:val="4C6873AE"/>
    <w:rsid w:val="4CA3296A"/>
    <w:rsid w:val="4CC6584D"/>
    <w:rsid w:val="4CD53D3D"/>
    <w:rsid w:val="4CE629A2"/>
    <w:rsid w:val="4D012D8A"/>
    <w:rsid w:val="4D267CEF"/>
    <w:rsid w:val="4D2E2B7B"/>
    <w:rsid w:val="4D8E56E6"/>
    <w:rsid w:val="4D9F0485"/>
    <w:rsid w:val="4DBB4F64"/>
    <w:rsid w:val="4DE31A11"/>
    <w:rsid w:val="4E2612A9"/>
    <w:rsid w:val="4E975F89"/>
    <w:rsid w:val="4EDF2B21"/>
    <w:rsid w:val="4F1845C0"/>
    <w:rsid w:val="4F211ECB"/>
    <w:rsid w:val="4F2A7373"/>
    <w:rsid w:val="4F3C6AED"/>
    <w:rsid w:val="4F417B53"/>
    <w:rsid w:val="4F5E52BF"/>
    <w:rsid w:val="4FAC7D88"/>
    <w:rsid w:val="4FB9459A"/>
    <w:rsid w:val="4FE514FF"/>
    <w:rsid w:val="50265BBB"/>
    <w:rsid w:val="503A0C8D"/>
    <w:rsid w:val="509155DA"/>
    <w:rsid w:val="509176A9"/>
    <w:rsid w:val="509C1BAA"/>
    <w:rsid w:val="50B16357"/>
    <w:rsid w:val="50C67828"/>
    <w:rsid w:val="50E77AFF"/>
    <w:rsid w:val="50FE6C5E"/>
    <w:rsid w:val="51547DD3"/>
    <w:rsid w:val="51FD6D43"/>
    <w:rsid w:val="525248C4"/>
    <w:rsid w:val="52BD7797"/>
    <w:rsid w:val="52EA4003"/>
    <w:rsid w:val="52FA36B8"/>
    <w:rsid w:val="53073BE6"/>
    <w:rsid w:val="53244FCC"/>
    <w:rsid w:val="533C798D"/>
    <w:rsid w:val="537440A5"/>
    <w:rsid w:val="53766F95"/>
    <w:rsid w:val="53E41FEF"/>
    <w:rsid w:val="53F31DE7"/>
    <w:rsid w:val="547A2F8A"/>
    <w:rsid w:val="548A54F6"/>
    <w:rsid w:val="54930FFD"/>
    <w:rsid w:val="54C73D2D"/>
    <w:rsid w:val="550D5025"/>
    <w:rsid w:val="55204A76"/>
    <w:rsid w:val="554D3A1B"/>
    <w:rsid w:val="55513F7E"/>
    <w:rsid w:val="556C0F83"/>
    <w:rsid w:val="556F6B86"/>
    <w:rsid w:val="55AC713D"/>
    <w:rsid w:val="55D56C74"/>
    <w:rsid w:val="55D87708"/>
    <w:rsid w:val="55E11E60"/>
    <w:rsid w:val="561B648F"/>
    <w:rsid w:val="5621502B"/>
    <w:rsid w:val="566B14CD"/>
    <w:rsid w:val="567D676E"/>
    <w:rsid w:val="568E5958"/>
    <w:rsid w:val="56F37018"/>
    <w:rsid w:val="577235CD"/>
    <w:rsid w:val="57851C95"/>
    <w:rsid w:val="57EC3417"/>
    <w:rsid w:val="57FD72B5"/>
    <w:rsid w:val="57FF2F01"/>
    <w:rsid w:val="58144992"/>
    <w:rsid w:val="58237650"/>
    <w:rsid w:val="58366D88"/>
    <w:rsid w:val="58507A62"/>
    <w:rsid w:val="58E356F5"/>
    <w:rsid w:val="59196758"/>
    <w:rsid w:val="591E1CF6"/>
    <w:rsid w:val="592D0C3E"/>
    <w:rsid w:val="593D23D7"/>
    <w:rsid w:val="593D3AAA"/>
    <w:rsid w:val="59493CF6"/>
    <w:rsid w:val="59FC1568"/>
    <w:rsid w:val="5A12493E"/>
    <w:rsid w:val="5A666C1D"/>
    <w:rsid w:val="5A841E79"/>
    <w:rsid w:val="5A9967E3"/>
    <w:rsid w:val="5BF45DD9"/>
    <w:rsid w:val="5C1373EE"/>
    <w:rsid w:val="5C2A733E"/>
    <w:rsid w:val="5C553357"/>
    <w:rsid w:val="5C7E502B"/>
    <w:rsid w:val="5CAF386E"/>
    <w:rsid w:val="5D2A2271"/>
    <w:rsid w:val="5D570406"/>
    <w:rsid w:val="5D6B5536"/>
    <w:rsid w:val="5D7D5AFC"/>
    <w:rsid w:val="5D936228"/>
    <w:rsid w:val="5DAD189A"/>
    <w:rsid w:val="5DAE24B5"/>
    <w:rsid w:val="5DB24FF7"/>
    <w:rsid w:val="5DC015D3"/>
    <w:rsid w:val="5DE92B94"/>
    <w:rsid w:val="5E0D0017"/>
    <w:rsid w:val="5E235381"/>
    <w:rsid w:val="5E7E6F01"/>
    <w:rsid w:val="5E8D7FDA"/>
    <w:rsid w:val="5EC93E2B"/>
    <w:rsid w:val="5EE1105A"/>
    <w:rsid w:val="5EEB02AD"/>
    <w:rsid w:val="5F1E2CE4"/>
    <w:rsid w:val="5F24776E"/>
    <w:rsid w:val="5F391497"/>
    <w:rsid w:val="5F6D6BF1"/>
    <w:rsid w:val="5F93686E"/>
    <w:rsid w:val="5FA11560"/>
    <w:rsid w:val="5FAC7842"/>
    <w:rsid w:val="5FE47612"/>
    <w:rsid w:val="6065645C"/>
    <w:rsid w:val="60815D1C"/>
    <w:rsid w:val="6097072C"/>
    <w:rsid w:val="609B24C7"/>
    <w:rsid w:val="60B97D8E"/>
    <w:rsid w:val="60F15F42"/>
    <w:rsid w:val="6113142F"/>
    <w:rsid w:val="61137C66"/>
    <w:rsid w:val="61174889"/>
    <w:rsid w:val="61464639"/>
    <w:rsid w:val="614C5AB3"/>
    <w:rsid w:val="61836D6A"/>
    <w:rsid w:val="619F64A6"/>
    <w:rsid w:val="61AD0938"/>
    <w:rsid w:val="620C1A0F"/>
    <w:rsid w:val="625E7A5B"/>
    <w:rsid w:val="626A02AB"/>
    <w:rsid w:val="626D784A"/>
    <w:rsid w:val="627E5BF1"/>
    <w:rsid w:val="628E066E"/>
    <w:rsid w:val="629910C9"/>
    <w:rsid w:val="62AC6B3E"/>
    <w:rsid w:val="62FD40AB"/>
    <w:rsid w:val="632729D5"/>
    <w:rsid w:val="633635FA"/>
    <w:rsid w:val="6339784E"/>
    <w:rsid w:val="636522D0"/>
    <w:rsid w:val="63C0084B"/>
    <w:rsid w:val="63CA38AE"/>
    <w:rsid w:val="63CC234F"/>
    <w:rsid w:val="64100226"/>
    <w:rsid w:val="64430C5E"/>
    <w:rsid w:val="64A82D2C"/>
    <w:rsid w:val="64B67287"/>
    <w:rsid w:val="6523746B"/>
    <w:rsid w:val="65456D80"/>
    <w:rsid w:val="65615906"/>
    <w:rsid w:val="65B243BC"/>
    <w:rsid w:val="65B77A2F"/>
    <w:rsid w:val="65DC4ACB"/>
    <w:rsid w:val="65E21033"/>
    <w:rsid w:val="6603078C"/>
    <w:rsid w:val="662C18A6"/>
    <w:rsid w:val="66353EC4"/>
    <w:rsid w:val="663A2DF3"/>
    <w:rsid w:val="665112A7"/>
    <w:rsid w:val="665416B2"/>
    <w:rsid w:val="66C924FD"/>
    <w:rsid w:val="66FC139D"/>
    <w:rsid w:val="6706383F"/>
    <w:rsid w:val="673A0D43"/>
    <w:rsid w:val="675337A7"/>
    <w:rsid w:val="678444D4"/>
    <w:rsid w:val="67B20A68"/>
    <w:rsid w:val="68225767"/>
    <w:rsid w:val="683434EC"/>
    <w:rsid w:val="683851C9"/>
    <w:rsid w:val="686C3BB3"/>
    <w:rsid w:val="6887597D"/>
    <w:rsid w:val="68A734FB"/>
    <w:rsid w:val="690305BC"/>
    <w:rsid w:val="691D46F9"/>
    <w:rsid w:val="6968101E"/>
    <w:rsid w:val="69E316F2"/>
    <w:rsid w:val="69F852DA"/>
    <w:rsid w:val="6A0C3BA0"/>
    <w:rsid w:val="6A2B456D"/>
    <w:rsid w:val="6A2E4E68"/>
    <w:rsid w:val="6AE36D87"/>
    <w:rsid w:val="6AF47724"/>
    <w:rsid w:val="6AFE6256"/>
    <w:rsid w:val="6B19056F"/>
    <w:rsid w:val="6B4E24B7"/>
    <w:rsid w:val="6BB83749"/>
    <w:rsid w:val="6BDC04DC"/>
    <w:rsid w:val="6BF66C45"/>
    <w:rsid w:val="6C0C180A"/>
    <w:rsid w:val="6C1A4636"/>
    <w:rsid w:val="6C3D7860"/>
    <w:rsid w:val="6D000EB2"/>
    <w:rsid w:val="6D196605"/>
    <w:rsid w:val="6D40115E"/>
    <w:rsid w:val="6D5959D6"/>
    <w:rsid w:val="6D996C69"/>
    <w:rsid w:val="6DB5501A"/>
    <w:rsid w:val="6E2C05BA"/>
    <w:rsid w:val="6E424713"/>
    <w:rsid w:val="6EA53B97"/>
    <w:rsid w:val="6EE050E4"/>
    <w:rsid w:val="6EEB6B74"/>
    <w:rsid w:val="6F7D5334"/>
    <w:rsid w:val="6FA01F97"/>
    <w:rsid w:val="6FA02DC7"/>
    <w:rsid w:val="6FB14B95"/>
    <w:rsid w:val="6FC02972"/>
    <w:rsid w:val="6FC41D71"/>
    <w:rsid w:val="6FD934F4"/>
    <w:rsid w:val="702B5B58"/>
    <w:rsid w:val="703F704A"/>
    <w:rsid w:val="70665B02"/>
    <w:rsid w:val="709470A2"/>
    <w:rsid w:val="70A95AA7"/>
    <w:rsid w:val="70B47F7C"/>
    <w:rsid w:val="70B6031A"/>
    <w:rsid w:val="70BE0DE0"/>
    <w:rsid w:val="70FC64F5"/>
    <w:rsid w:val="70FE0D35"/>
    <w:rsid w:val="714220FE"/>
    <w:rsid w:val="7165209A"/>
    <w:rsid w:val="716D4593"/>
    <w:rsid w:val="71705837"/>
    <w:rsid w:val="717723A6"/>
    <w:rsid w:val="7181680A"/>
    <w:rsid w:val="718B6DAB"/>
    <w:rsid w:val="71915286"/>
    <w:rsid w:val="71C21584"/>
    <w:rsid w:val="71DD1C74"/>
    <w:rsid w:val="71F90E21"/>
    <w:rsid w:val="72965499"/>
    <w:rsid w:val="729735E6"/>
    <w:rsid w:val="72A21BD9"/>
    <w:rsid w:val="72FE299D"/>
    <w:rsid w:val="730A0ADE"/>
    <w:rsid w:val="731E6C40"/>
    <w:rsid w:val="73401290"/>
    <w:rsid w:val="739D5F83"/>
    <w:rsid w:val="73EB4C00"/>
    <w:rsid w:val="73F7239D"/>
    <w:rsid w:val="74796BCA"/>
    <w:rsid w:val="748506DA"/>
    <w:rsid w:val="74AC4EBD"/>
    <w:rsid w:val="74E1092E"/>
    <w:rsid w:val="751C5E2C"/>
    <w:rsid w:val="754B6E0C"/>
    <w:rsid w:val="7572143B"/>
    <w:rsid w:val="75B275F6"/>
    <w:rsid w:val="75D50A5A"/>
    <w:rsid w:val="76317A2B"/>
    <w:rsid w:val="76335DFC"/>
    <w:rsid w:val="76B852AA"/>
    <w:rsid w:val="77754398"/>
    <w:rsid w:val="77BC123C"/>
    <w:rsid w:val="77EC4AEE"/>
    <w:rsid w:val="782E24D0"/>
    <w:rsid w:val="78397A7B"/>
    <w:rsid w:val="7859138E"/>
    <w:rsid w:val="78657F29"/>
    <w:rsid w:val="787855B8"/>
    <w:rsid w:val="790C6929"/>
    <w:rsid w:val="792C2EA3"/>
    <w:rsid w:val="7949041D"/>
    <w:rsid w:val="795F163E"/>
    <w:rsid w:val="79654980"/>
    <w:rsid w:val="798C77A8"/>
    <w:rsid w:val="79E13F3E"/>
    <w:rsid w:val="7A323738"/>
    <w:rsid w:val="7A3C1D6D"/>
    <w:rsid w:val="7A565F9E"/>
    <w:rsid w:val="7A746447"/>
    <w:rsid w:val="7A9C44F7"/>
    <w:rsid w:val="7AE80A83"/>
    <w:rsid w:val="7B116B6D"/>
    <w:rsid w:val="7B3D7133"/>
    <w:rsid w:val="7B5F12AF"/>
    <w:rsid w:val="7B6A3FBF"/>
    <w:rsid w:val="7BB46F7D"/>
    <w:rsid w:val="7BB85A2F"/>
    <w:rsid w:val="7BC64E5A"/>
    <w:rsid w:val="7C0A6539"/>
    <w:rsid w:val="7C932299"/>
    <w:rsid w:val="7C9C3449"/>
    <w:rsid w:val="7CB3260B"/>
    <w:rsid w:val="7D692C90"/>
    <w:rsid w:val="7D6E3881"/>
    <w:rsid w:val="7E4762FC"/>
    <w:rsid w:val="7EB83ED3"/>
    <w:rsid w:val="7ED166A5"/>
    <w:rsid w:val="7F0D73E3"/>
    <w:rsid w:val="7F1909AD"/>
    <w:rsid w:val="7F1D5B96"/>
    <w:rsid w:val="7F2C244A"/>
    <w:rsid w:val="7F7A5EC0"/>
    <w:rsid w:val="7F867703"/>
    <w:rsid w:val="7F9307F1"/>
    <w:rsid w:val="7FF3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100" w:after="100"/>
      <w:jc w:val="center"/>
      <w:outlineLvl w:val="0"/>
    </w:pPr>
    <w:rPr>
      <w:b/>
      <w:bCs/>
      <w:kern w:val="44"/>
      <w:sz w:val="32"/>
      <w:szCs w:val="44"/>
    </w:rPr>
  </w:style>
  <w:style w:type="paragraph" w:styleId="3">
    <w:name w:val="heading 2"/>
    <w:basedOn w:val="1"/>
    <w:next w:val="1"/>
    <w:link w:val="63"/>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4">
    <w:name w:val="heading 3"/>
    <w:basedOn w:val="1"/>
    <w:next w:val="1"/>
    <w:link w:val="6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64"/>
    <w:qFormat/>
    <w:uiPriority w:val="0"/>
    <w:pPr>
      <w:autoSpaceDE w:val="0"/>
      <w:autoSpaceDN w:val="0"/>
      <w:adjustRightInd w:val="0"/>
      <w:ind w:firstLine="420"/>
      <w:jc w:val="left"/>
    </w:pPr>
    <w:rPr>
      <w:rFonts w:ascii="宋体"/>
      <w:kern w:val="0"/>
      <w:sz w:val="24"/>
      <w:szCs w:val="20"/>
    </w:rPr>
  </w:style>
  <w:style w:type="paragraph" w:styleId="6">
    <w:name w:val="Body Text First Indent 2"/>
    <w:basedOn w:val="7"/>
    <w:next w:val="1"/>
    <w:qFormat/>
    <w:uiPriority w:val="0"/>
    <w:pPr>
      <w:ind w:firstLine="420" w:firstLineChars="200"/>
    </w:pPr>
  </w:style>
  <w:style w:type="paragraph" w:styleId="7">
    <w:name w:val="Body Text Indent"/>
    <w:basedOn w:val="1"/>
    <w:next w:val="8"/>
    <w:link w:val="69"/>
    <w:qFormat/>
    <w:uiPriority w:val="0"/>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Document Map"/>
    <w:basedOn w:val="1"/>
    <w:link w:val="67"/>
    <w:qFormat/>
    <w:uiPriority w:val="0"/>
    <w:rPr>
      <w:rFonts w:ascii="宋体" w:hAnsi="Calibri"/>
      <w:kern w:val="0"/>
      <w:sz w:val="18"/>
      <w:szCs w:val="18"/>
    </w:rPr>
  </w:style>
  <w:style w:type="paragraph" w:styleId="10">
    <w:name w:val="toa heading"/>
    <w:basedOn w:val="1"/>
    <w:next w:val="1"/>
    <w:qFormat/>
    <w:uiPriority w:val="99"/>
    <w:pPr>
      <w:spacing w:line="360" w:lineRule="auto"/>
    </w:pPr>
    <w:rPr>
      <w:rFonts w:ascii="Arial" w:hAnsi="Arial" w:cs="宋体"/>
    </w:rPr>
  </w:style>
  <w:style w:type="paragraph" w:styleId="11">
    <w:name w:val="annotation text"/>
    <w:basedOn w:val="1"/>
    <w:link w:val="70"/>
    <w:qFormat/>
    <w:uiPriority w:val="99"/>
    <w:pPr>
      <w:jc w:val="left"/>
    </w:pPr>
    <w:rPr>
      <w:rFonts w:ascii="Calibri" w:hAnsi="Calibri"/>
      <w:kern w:val="0"/>
      <w:sz w:val="20"/>
    </w:rPr>
  </w:style>
  <w:style w:type="paragraph" w:styleId="12">
    <w:name w:val="Body Text"/>
    <w:basedOn w:val="1"/>
    <w:link w:val="68"/>
    <w:qFormat/>
    <w:uiPriority w:val="0"/>
    <w:pPr>
      <w:tabs>
        <w:tab w:val="left" w:pos="567"/>
      </w:tabs>
      <w:spacing w:before="120" w:line="22" w:lineRule="atLeast"/>
    </w:pPr>
    <w:rPr>
      <w:rFonts w:ascii="宋体" w:hAnsi="宋体"/>
      <w:sz w:val="24"/>
    </w:rPr>
  </w:style>
  <w:style w:type="paragraph" w:styleId="13">
    <w:name w:val="toc 3"/>
    <w:basedOn w:val="1"/>
    <w:next w:val="1"/>
    <w:qFormat/>
    <w:uiPriority w:val="39"/>
    <w:pPr>
      <w:spacing w:line="500" w:lineRule="exact"/>
      <w:ind w:left="400" w:leftChars="400"/>
    </w:pPr>
    <w:rPr>
      <w:sz w:val="24"/>
    </w:rPr>
  </w:style>
  <w:style w:type="paragraph" w:styleId="14">
    <w:name w:val="Plain Text"/>
    <w:basedOn w:val="1"/>
    <w:next w:val="1"/>
    <w:link w:val="62"/>
    <w:qFormat/>
    <w:uiPriority w:val="0"/>
    <w:rPr>
      <w:rFonts w:ascii="宋体" w:hAnsi="Courier New"/>
      <w:kern w:val="0"/>
      <w:sz w:val="20"/>
      <w:szCs w:val="20"/>
    </w:rPr>
  </w:style>
  <w:style w:type="paragraph" w:styleId="15">
    <w:name w:val="Date"/>
    <w:basedOn w:val="1"/>
    <w:next w:val="1"/>
    <w:link w:val="66"/>
    <w:qFormat/>
    <w:uiPriority w:val="0"/>
    <w:pPr>
      <w:ind w:left="100" w:leftChars="2500"/>
    </w:pPr>
    <w:rPr>
      <w:rFonts w:ascii="Calibri" w:hAnsi="Calibri"/>
    </w:rPr>
  </w:style>
  <w:style w:type="paragraph" w:styleId="16">
    <w:name w:val="Body Text Indent 2"/>
    <w:basedOn w:val="1"/>
    <w:link w:val="59"/>
    <w:qFormat/>
    <w:uiPriority w:val="0"/>
    <w:pPr>
      <w:spacing w:after="120" w:line="480" w:lineRule="auto"/>
      <w:ind w:left="420" w:leftChars="200"/>
    </w:pPr>
  </w:style>
  <w:style w:type="paragraph" w:styleId="17">
    <w:name w:val="Balloon Text"/>
    <w:basedOn w:val="1"/>
    <w:link w:val="60"/>
    <w:unhideWhenUsed/>
    <w:qFormat/>
    <w:uiPriority w:val="99"/>
    <w:rPr>
      <w:sz w:val="18"/>
      <w:szCs w:val="18"/>
    </w:rPr>
  </w:style>
  <w:style w:type="paragraph" w:styleId="18">
    <w:name w:val="footer"/>
    <w:basedOn w:val="1"/>
    <w:link w:val="57"/>
    <w:qFormat/>
    <w:uiPriority w:val="0"/>
    <w:pPr>
      <w:tabs>
        <w:tab w:val="center" w:pos="4153"/>
        <w:tab w:val="right" w:pos="8306"/>
      </w:tabs>
      <w:snapToGrid w:val="0"/>
      <w:jc w:val="left"/>
    </w:pPr>
    <w:rPr>
      <w:rFonts w:ascii="Calibri" w:hAnsi="Calibri"/>
      <w:sz w:val="18"/>
      <w:szCs w:val="18"/>
    </w:rPr>
  </w:style>
  <w:style w:type="paragraph" w:styleId="19">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1260"/>
        <w:tab w:val="right" w:leader="dot" w:pos="9060"/>
      </w:tabs>
      <w:spacing w:line="500" w:lineRule="exact"/>
    </w:pPr>
    <w:rPr>
      <w:sz w:val="24"/>
    </w:rPr>
  </w:style>
  <w:style w:type="paragraph" w:styleId="21">
    <w:name w:val="toc 6"/>
    <w:basedOn w:val="1"/>
    <w:next w:val="1"/>
    <w:unhideWhenUsed/>
    <w:qFormat/>
    <w:uiPriority w:val="39"/>
    <w:pPr>
      <w:ind w:left="2100" w:leftChars="1000"/>
    </w:pPr>
  </w:style>
  <w:style w:type="paragraph" w:styleId="22">
    <w:name w:val="table of figures"/>
    <w:basedOn w:val="1"/>
    <w:next w:val="1"/>
    <w:semiHidden/>
    <w:unhideWhenUsed/>
    <w:qFormat/>
    <w:uiPriority w:val="99"/>
    <w:pPr>
      <w:ind w:left="200" w:leftChars="200" w:hanging="200" w:hangingChars="200"/>
    </w:pPr>
  </w:style>
  <w:style w:type="paragraph" w:styleId="23">
    <w:name w:val="toc 2"/>
    <w:basedOn w:val="1"/>
    <w:next w:val="1"/>
    <w:qFormat/>
    <w:uiPriority w:val="39"/>
    <w:pPr>
      <w:spacing w:line="500" w:lineRule="exact"/>
      <w:ind w:left="200" w:leftChars="200"/>
    </w:pPr>
    <w:rPr>
      <w:sz w:val="24"/>
    </w:rPr>
  </w:style>
  <w:style w:type="paragraph" w:styleId="24">
    <w:name w:val="Normal (Web)"/>
    <w:basedOn w:val="1"/>
    <w:qFormat/>
    <w:uiPriority w:val="0"/>
    <w:pPr>
      <w:spacing w:before="100" w:beforeAutospacing="1" w:after="100" w:afterAutospacing="1"/>
      <w:jc w:val="left"/>
    </w:pPr>
    <w:rPr>
      <w:kern w:val="0"/>
      <w:sz w:val="24"/>
    </w:rPr>
  </w:style>
  <w:style w:type="paragraph" w:styleId="25">
    <w:name w:val="index 1"/>
    <w:basedOn w:val="1"/>
    <w:next w:val="1"/>
    <w:semiHidden/>
    <w:qFormat/>
    <w:uiPriority w:val="0"/>
    <w:rPr>
      <w:szCs w:val="20"/>
    </w:rPr>
  </w:style>
  <w:style w:type="paragraph" w:styleId="26">
    <w:name w:val="annotation subject"/>
    <w:basedOn w:val="11"/>
    <w:next w:val="11"/>
    <w:link w:val="85"/>
    <w:semiHidden/>
    <w:unhideWhenUsed/>
    <w:qFormat/>
    <w:uiPriority w:val="99"/>
    <w:rPr>
      <w:rFonts w:ascii="Times New Roman" w:hAnsi="Times New Roman"/>
      <w:b/>
      <w:bCs/>
      <w:kern w:val="2"/>
      <w:sz w:val="21"/>
    </w:rPr>
  </w:style>
  <w:style w:type="paragraph" w:styleId="27">
    <w:name w:val="Body Text First Indent"/>
    <w:basedOn w:val="12"/>
    <w:next w:val="21"/>
    <w:qFormat/>
    <w:uiPriority w:val="0"/>
    <w:pPr>
      <w:spacing w:after="120"/>
      <w:ind w:firstLine="420" w:firstLineChars="100"/>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Emphasis"/>
    <w:basedOn w:val="30"/>
    <w:qFormat/>
    <w:uiPriority w:val="20"/>
  </w:style>
  <w:style w:type="character" w:styleId="35">
    <w:name w:val="HTML Definition"/>
    <w:basedOn w:val="30"/>
    <w:semiHidden/>
    <w:unhideWhenUsed/>
    <w:qFormat/>
    <w:uiPriority w:val="99"/>
  </w:style>
  <w:style w:type="character" w:styleId="36">
    <w:name w:val="HTML Typewriter"/>
    <w:basedOn w:val="30"/>
    <w:semiHidden/>
    <w:unhideWhenUsed/>
    <w:qFormat/>
    <w:uiPriority w:val="99"/>
    <w:rPr>
      <w:rFonts w:hint="default" w:ascii="monospace" w:hAnsi="monospace" w:eastAsia="monospace" w:cs="monospace"/>
      <w:sz w:val="20"/>
    </w:rPr>
  </w:style>
  <w:style w:type="character" w:styleId="37">
    <w:name w:val="HTML Acronym"/>
    <w:basedOn w:val="30"/>
    <w:semiHidden/>
    <w:unhideWhenUsed/>
    <w:qFormat/>
    <w:uiPriority w:val="99"/>
  </w:style>
  <w:style w:type="character" w:styleId="38">
    <w:name w:val="HTML Variable"/>
    <w:basedOn w:val="30"/>
    <w:semiHidden/>
    <w:unhideWhenUsed/>
    <w:qFormat/>
    <w:uiPriority w:val="99"/>
  </w:style>
  <w:style w:type="character" w:styleId="39">
    <w:name w:val="Hyperlink"/>
    <w:basedOn w:val="30"/>
    <w:qFormat/>
    <w:uiPriority w:val="99"/>
    <w:rPr>
      <w:color w:val="0000FF"/>
      <w:u w:val="single"/>
    </w:rPr>
  </w:style>
  <w:style w:type="character" w:styleId="40">
    <w:name w:val="HTML Code"/>
    <w:basedOn w:val="30"/>
    <w:semiHidden/>
    <w:unhideWhenUsed/>
    <w:qFormat/>
    <w:uiPriority w:val="99"/>
    <w:rPr>
      <w:rFonts w:hint="default" w:ascii="monospace" w:hAnsi="monospace" w:eastAsia="monospace" w:cs="monospace"/>
      <w:sz w:val="20"/>
    </w:rPr>
  </w:style>
  <w:style w:type="character" w:styleId="41">
    <w:name w:val="annotation reference"/>
    <w:semiHidden/>
    <w:qFormat/>
    <w:uiPriority w:val="99"/>
    <w:rPr>
      <w:sz w:val="21"/>
      <w:szCs w:val="21"/>
    </w:rPr>
  </w:style>
  <w:style w:type="character" w:styleId="42">
    <w:name w:val="HTML Cite"/>
    <w:basedOn w:val="30"/>
    <w:semiHidden/>
    <w:unhideWhenUsed/>
    <w:qFormat/>
    <w:uiPriority w:val="99"/>
  </w:style>
  <w:style w:type="character" w:styleId="43">
    <w:name w:val="HTML Keyboard"/>
    <w:basedOn w:val="30"/>
    <w:semiHidden/>
    <w:unhideWhenUsed/>
    <w:qFormat/>
    <w:uiPriority w:val="99"/>
    <w:rPr>
      <w:rFonts w:hint="default" w:ascii="monospace" w:hAnsi="monospace" w:eastAsia="monospace" w:cs="monospace"/>
      <w:sz w:val="20"/>
    </w:rPr>
  </w:style>
  <w:style w:type="character" w:styleId="44">
    <w:name w:val="HTML Sample"/>
    <w:basedOn w:val="30"/>
    <w:semiHidden/>
    <w:unhideWhenUsed/>
    <w:qFormat/>
    <w:uiPriority w:val="99"/>
    <w:rPr>
      <w:rFonts w:ascii="monospace" w:hAnsi="monospace" w:eastAsia="monospace" w:cs="monospace"/>
    </w:rPr>
  </w:style>
  <w:style w:type="paragraph" w:customStyle="1" w:styleId="45">
    <w:name w:val="正文 New"/>
    <w:basedOn w:val="1"/>
    <w:qFormat/>
    <w:uiPriority w:val="0"/>
    <w:pPr>
      <w:spacing w:before="100" w:beforeAutospacing="1" w:after="100" w:afterAutospacing="1" w:line="440" w:lineRule="exact"/>
      <w:ind w:left="357" w:hanging="357"/>
    </w:pPr>
    <w:rPr>
      <w:szCs w:val="21"/>
    </w:rPr>
  </w:style>
  <w:style w:type="paragraph" w:customStyle="1" w:styleId="4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7">
    <w:name w:val="BodyText1I"/>
    <w:basedOn w:val="48"/>
    <w:next w:val="1"/>
    <w:qFormat/>
    <w:uiPriority w:val="0"/>
    <w:pPr>
      <w:ind w:firstLine="420" w:firstLineChars="100"/>
    </w:pPr>
  </w:style>
  <w:style w:type="paragraph" w:customStyle="1" w:styleId="48">
    <w:name w:val="BodyText"/>
    <w:basedOn w:val="1"/>
    <w:next w:val="49"/>
    <w:qFormat/>
    <w:uiPriority w:val="0"/>
    <w:pPr>
      <w:spacing w:after="120"/>
      <w:textAlignment w:val="baseline"/>
    </w:pPr>
  </w:style>
  <w:style w:type="paragraph" w:customStyle="1" w:styleId="49">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50">
    <w:name w:val="批注文字 Char1"/>
    <w:basedOn w:val="30"/>
    <w:semiHidden/>
    <w:qFormat/>
    <w:uiPriority w:val="99"/>
    <w:rPr>
      <w:rFonts w:ascii="Times New Roman" w:hAnsi="Times New Roman" w:eastAsia="宋体" w:cs="Times New Roman"/>
      <w:szCs w:val="24"/>
    </w:rPr>
  </w:style>
  <w:style w:type="character" w:customStyle="1" w:styleId="51">
    <w:name w:val="样式（正文） Char"/>
    <w:link w:val="52"/>
    <w:qFormat/>
    <w:locked/>
    <w:uiPriority w:val="0"/>
    <w:rPr>
      <w:rFonts w:ascii="宋体" w:hAnsi="宋体" w:eastAsia="宋体"/>
      <w:sz w:val="24"/>
    </w:rPr>
  </w:style>
  <w:style w:type="paragraph" w:customStyle="1" w:styleId="52">
    <w:name w:val="样式（正文）"/>
    <w:basedOn w:val="1"/>
    <w:link w:val="51"/>
    <w:qFormat/>
    <w:uiPriority w:val="0"/>
    <w:pPr>
      <w:spacing w:line="360" w:lineRule="auto"/>
      <w:ind w:firstLine="200" w:firstLineChars="200"/>
    </w:pPr>
    <w:rPr>
      <w:rFonts w:ascii="宋体" w:hAnsi="宋体"/>
      <w:kern w:val="0"/>
      <w:sz w:val="24"/>
      <w:szCs w:val="20"/>
    </w:rPr>
  </w:style>
  <w:style w:type="character" w:customStyle="1" w:styleId="53">
    <w:name w:val="日期 Char1"/>
    <w:basedOn w:val="30"/>
    <w:semiHidden/>
    <w:qFormat/>
    <w:uiPriority w:val="99"/>
    <w:rPr>
      <w:rFonts w:ascii="Times New Roman" w:hAnsi="Times New Roman" w:eastAsia="宋体" w:cs="Times New Roman"/>
      <w:szCs w:val="24"/>
    </w:rPr>
  </w:style>
  <w:style w:type="character" w:customStyle="1" w:styleId="54">
    <w:name w:val="纯文本 Char1"/>
    <w:basedOn w:val="30"/>
    <w:semiHidden/>
    <w:qFormat/>
    <w:uiPriority w:val="99"/>
    <w:rPr>
      <w:rFonts w:ascii="宋体" w:hAnsi="Courier New" w:eastAsia="宋体" w:cs="Courier New"/>
      <w:szCs w:val="21"/>
    </w:rPr>
  </w:style>
  <w:style w:type="character" w:customStyle="1" w:styleId="55">
    <w:name w:val="页眉 字符"/>
    <w:basedOn w:val="30"/>
    <w:link w:val="19"/>
    <w:qFormat/>
    <w:uiPriority w:val="0"/>
    <w:rPr>
      <w:rFonts w:ascii="Times New Roman" w:hAnsi="Times New Roman" w:eastAsia="宋体" w:cs="Times New Roman"/>
      <w:sz w:val="18"/>
      <w:szCs w:val="18"/>
    </w:rPr>
  </w:style>
  <w:style w:type="character" w:customStyle="1" w:styleId="56">
    <w:name w:val="页脚 Char"/>
    <w:basedOn w:val="30"/>
    <w:qFormat/>
    <w:uiPriority w:val="0"/>
    <w:rPr>
      <w:sz w:val="18"/>
      <w:szCs w:val="18"/>
    </w:rPr>
  </w:style>
  <w:style w:type="character" w:customStyle="1" w:styleId="57">
    <w:name w:val="页脚 字符"/>
    <w:basedOn w:val="30"/>
    <w:link w:val="18"/>
    <w:semiHidden/>
    <w:qFormat/>
    <w:uiPriority w:val="99"/>
    <w:rPr>
      <w:rFonts w:ascii="Times New Roman" w:hAnsi="Times New Roman" w:eastAsia="宋体" w:cs="Times New Roman"/>
      <w:sz w:val="18"/>
      <w:szCs w:val="18"/>
    </w:rPr>
  </w:style>
  <w:style w:type="character" w:customStyle="1" w:styleId="58">
    <w:name w:val="标题 1 字符"/>
    <w:basedOn w:val="30"/>
    <w:link w:val="2"/>
    <w:qFormat/>
    <w:uiPriority w:val="0"/>
    <w:rPr>
      <w:rFonts w:ascii="Times New Roman" w:hAnsi="Times New Roman" w:eastAsia="宋体" w:cs="Times New Roman"/>
      <w:b/>
      <w:bCs/>
      <w:kern w:val="44"/>
      <w:sz w:val="32"/>
      <w:szCs w:val="44"/>
    </w:rPr>
  </w:style>
  <w:style w:type="character" w:customStyle="1" w:styleId="59">
    <w:name w:val="正文文本缩进 2 字符"/>
    <w:basedOn w:val="30"/>
    <w:link w:val="16"/>
    <w:qFormat/>
    <w:uiPriority w:val="0"/>
    <w:rPr>
      <w:rFonts w:ascii="Times New Roman" w:hAnsi="Times New Roman" w:eastAsia="宋体" w:cs="Times New Roman"/>
      <w:szCs w:val="24"/>
    </w:rPr>
  </w:style>
  <w:style w:type="character" w:customStyle="1" w:styleId="60">
    <w:name w:val="批注框文本 字符"/>
    <w:basedOn w:val="30"/>
    <w:link w:val="17"/>
    <w:semiHidden/>
    <w:qFormat/>
    <w:uiPriority w:val="99"/>
    <w:rPr>
      <w:rFonts w:ascii="Times New Roman" w:hAnsi="Times New Roman" w:eastAsia="宋体" w:cs="Times New Roman"/>
      <w:sz w:val="18"/>
      <w:szCs w:val="18"/>
    </w:rPr>
  </w:style>
  <w:style w:type="character" w:customStyle="1" w:styleId="61">
    <w:name w:val="文档结构图 Char1"/>
    <w:basedOn w:val="30"/>
    <w:semiHidden/>
    <w:qFormat/>
    <w:uiPriority w:val="99"/>
    <w:rPr>
      <w:rFonts w:ascii="宋体" w:hAnsi="Times New Roman" w:eastAsia="宋体" w:cs="Times New Roman"/>
      <w:sz w:val="18"/>
      <w:szCs w:val="18"/>
    </w:rPr>
  </w:style>
  <w:style w:type="character" w:customStyle="1" w:styleId="62">
    <w:name w:val="纯文本 字符"/>
    <w:link w:val="14"/>
    <w:qFormat/>
    <w:uiPriority w:val="0"/>
    <w:rPr>
      <w:rFonts w:ascii="宋体" w:hAnsi="Courier New"/>
    </w:rPr>
  </w:style>
  <w:style w:type="character" w:customStyle="1" w:styleId="63">
    <w:name w:val="标题 2 字符"/>
    <w:basedOn w:val="30"/>
    <w:link w:val="3"/>
    <w:qFormat/>
    <w:uiPriority w:val="0"/>
    <w:rPr>
      <w:rFonts w:ascii="Arial" w:hAnsi="Arial" w:eastAsia="宋体" w:cs="Times New Roman"/>
      <w:b/>
      <w:kern w:val="0"/>
      <w:sz w:val="32"/>
      <w:szCs w:val="20"/>
    </w:rPr>
  </w:style>
  <w:style w:type="character" w:customStyle="1" w:styleId="64">
    <w:name w:val="正文缩进 字符"/>
    <w:link w:val="5"/>
    <w:qFormat/>
    <w:uiPriority w:val="0"/>
    <w:rPr>
      <w:rFonts w:ascii="宋体" w:hAnsi="Times New Roman" w:eastAsia="宋体" w:cs="Times New Roman"/>
      <w:kern w:val="0"/>
      <w:sz w:val="24"/>
      <w:szCs w:val="20"/>
    </w:rPr>
  </w:style>
  <w:style w:type="character" w:customStyle="1" w:styleId="65">
    <w:name w:val="标题 3 字符"/>
    <w:basedOn w:val="30"/>
    <w:link w:val="4"/>
    <w:qFormat/>
    <w:uiPriority w:val="0"/>
    <w:rPr>
      <w:rFonts w:ascii="宋体" w:hAnsi="Times New Roman" w:eastAsia="宋体" w:cs="Times New Roman"/>
      <w:b/>
      <w:kern w:val="0"/>
      <w:sz w:val="24"/>
      <w:szCs w:val="20"/>
    </w:rPr>
  </w:style>
  <w:style w:type="character" w:customStyle="1" w:styleId="66">
    <w:name w:val="日期 字符"/>
    <w:basedOn w:val="30"/>
    <w:link w:val="15"/>
    <w:qFormat/>
    <w:uiPriority w:val="0"/>
    <w:rPr>
      <w:szCs w:val="24"/>
    </w:rPr>
  </w:style>
  <w:style w:type="character" w:customStyle="1" w:styleId="67">
    <w:name w:val="文档结构图 字符"/>
    <w:link w:val="9"/>
    <w:qFormat/>
    <w:uiPriority w:val="0"/>
    <w:rPr>
      <w:rFonts w:ascii="宋体" w:eastAsia="宋体"/>
      <w:sz w:val="18"/>
      <w:szCs w:val="18"/>
    </w:rPr>
  </w:style>
  <w:style w:type="character" w:customStyle="1" w:styleId="68">
    <w:name w:val="正文文本 字符"/>
    <w:basedOn w:val="30"/>
    <w:link w:val="12"/>
    <w:qFormat/>
    <w:uiPriority w:val="0"/>
    <w:rPr>
      <w:rFonts w:ascii="宋体" w:hAnsi="宋体" w:eastAsia="宋体" w:cs="Times New Roman"/>
      <w:sz w:val="24"/>
      <w:szCs w:val="24"/>
    </w:rPr>
  </w:style>
  <w:style w:type="character" w:customStyle="1" w:styleId="69">
    <w:name w:val="正文文本缩进 字符"/>
    <w:basedOn w:val="30"/>
    <w:link w:val="7"/>
    <w:qFormat/>
    <w:uiPriority w:val="0"/>
    <w:rPr>
      <w:rFonts w:ascii="Times New Roman" w:hAnsi="Times New Roman" w:eastAsia="宋体" w:cs="Times New Roman"/>
      <w:szCs w:val="24"/>
    </w:rPr>
  </w:style>
  <w:style w:type="character" w:customStyle="1" w:styleId="70">
    <w:name w:val="批注文字 字符"/>
    <w:link w:val="11"/>
    <w:qFormat/>
    <w:uiPriority w:val="99"/>
    <w:rPr>
      <w:rFonts w:eastAsia="宋体"/>
      <w:szCs w:val="24"/>
    </w:rPr>
  </w:style>
  <w:style w:type="paragraph" w:customStyle="1" w:styleId="71">
    <w:name w:val="样式 标题 2 + 段后: 156 磅"/>
    <w:basedOn w:val="3"/>
    <w:qFormat/>
    <w:uiPriority w:val="0"/>
    <w:pPr>
      <w:spacing w:before="100" w:after="100" w:line="240" w:lineRule="auto"/>
    </w:pPr>
    <w:rPr>
      <w:rFonts w:cs="宋体"/>
      <w:bCs/>
      <w:sz w:val="30"/>
    </w:rPr>
  </w:style>
  <w:style w:type="paragraph" w:customStyle="1" w:styleId="7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表文"/>
    <w:basedOn w:val="1"/>
    <w:qFormat/>
    <w:uiPriority w:val="0"/>
    <w:rPr>
      <w:rFonts w:ascii="宋体" w:hAnsi="宋体" w:cs="宋体"/>
      <w:color w:val="000000"/>
      <w:kern w:val="0"/>
      <w:szCs w:val="21"/>
    </w:rPr>
  </w:style>
  <w:style w:type="paragraph" w:customStyle="1" w:styleId="74">
    <w:name w:val="Char Char1"/>
    <w:basedOn w:val="1"/>
    <w:qFormat/>
    <w:uiPriority w:val="0"/>
    <w:rPr>
      <w:szCs w:val="20"/>
    </w:rPr>
  </w:style>
  <w:style w:type="paragraph" w:customStyle="1" w:styleId="75">
    <w:name w:val="p0"/>
    <w:basedOn w:val="1"/>
    <w:qFormat/>
    <w:uiPriority w:val="0"/>
    <w:pPr>
      <w:widowControl/>
      <w:snapToGrid w:val="0"/>
      <w:spacing w:after="200"/>
      <w:jc w:val="left"/>
    </w:pPr>
    <w:rPr>
      <w:rFonts w:ascii="Tahoma" w:hAnsi="Tahoma" w:cs="Tahoma"/>
      <w:kern w:val="0"/>
      <w:sz w:val="22"/>
      <w:szCs w:val="22"/>
    </w:rPr>
  </w:style>
  <w:style w:type="paragraph" w:customStyle="1" w:styleId="76">
    <w:name w:val="样式1"/>
    <w:basedOn w:val="4"/>
    <w:qFormat/>
    <w:uiPriority w:val="0"/>
    <w:pPr>
      <w:jc w:val="center"/>
    </w:pPr>
  </w:style>
  <w:style w:type="paragraph" w:customStyle="1" w:styleId="77">
    <w:name w:val="Char"/>
    <w:basedOn w:val="1"/>
    <w:qFormat/>
    <w:uiPriority w:val="0"/>
    <w:pPr>
      <w:tabs>
        <w:tab w:val="left" w:pos="432"/>
      </w:tabs>
      <w:spacing w:beforeLines="50" w:afterLines="50"/>
      <w:ind w:left="864" w:hanging="432"/>
    </w:pPr>
    <w:rPr>
      <w:sz w:val="24"/>
    </w:rPr>
  </w:style>
  <w:style w:type="paragraph" w:customStyle="1" w:styleId="78">
    <w:name w:val="Char2"/>
    <w:basedOn w:val="1"/>
    <w:next w:val="1"/>
    <w:qFormat/>
    <w:uiPriority w:val="0"/>
    <w:pPr>
      <w:widowControl/>
      <w:spacing w:line="360" w:lineRule="auto"/>
      <w:jc w:val="left"/>
    </w:pPr>
    <w:rPr>
      <w:kern w:val="0"/>
      <w:szCs w:val="20"/>
      <w:lang w:eastAsia="en-US"/>
    </w:rPr>
  </w:style>
  <w:style w:type="paragraph" w:customStyle="1" w:styleId="79">
    <w:name w:val="Char11"/>
    <w:basedOn w:val="1"/>
    <w:qFormat/>
    <w:uiPriority w:val="0"/>
    <w:rPr>
      <w:rFonts w:ascii="Tahoma" w:hAnsi="Tahoma"/>
      <w:sz w:val="24"/>
      <w:szCs w:val="20"/>
    </w:rPr>
  </w:style>
  <w:style w:type="paragraph" w:customStyle="1" w:styleId="80">
    <w:name w:val="Char1"/>
    <w:basedOn w:val="1"/>
    <w:qFormat/>
    <w:uiPriority w:val="0"/>
    <w:rPr>
      <w:rFonts w:ascii="Tahoma" w:hAnsi="Tahoma"/>
      <w:sz w:val="24"/>
      <w:szCs w:val="20"/>
    </w:rPr>
  </w:style>
  <w:style w:type="paragraph" w:customStyle="1" w:styleId="81">
    <w:name w:val="Char Char11"/>
    <w:basedOn w:val="1"/>
    <w:qFormat/>
    <w:uiPriority w:val="0"/>
  </w:style>
  <w:style w:type="paragraph" w:customStyle="1" w:styleId="8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列出段落1"/>
    <w:basedOn w:val="1"/>
    <w:qFormat/>
    <w:uiPriority w:val="0"/>
    <w:pPr>
      <w:ind w:firstLine="420" w:firstLineChars="200"/>
    </w:pPr>
    <w:rPr>
      <w:rFonts w:ascii="Calibri" w:hAnsi="Calibri"/>
      <w:szCs w:val="22"/>
    </w:rPr>
  </w:style>
  <w:style w:type="paragraph" w:customStyle="1" w:styleId="84">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批注主题 字符"/>
    <w:basedOn w:val="70"/>
    <w:link w:val="26"/>
    <w:semiHidden/>
    <w:qFormat/>
    <w:uiPriority w:val="99"/>
    <w:rPr>
      <w:rFonts w:eastAsia="宋体"/>
      <w:b/>
      <w:bCs/>
      <w:kern w:val="2"/>
      <w:sz w:val="21"/>
      <w:szCs w:val="24"/>
    </w:rPr>
  </w:style>
  <w:style w:type="paragraph" w:styleId="86">
    <w:name w:val="List Paragraph"/>
    <w:basedOn w:val="1"/>
    <w:qFormat/>
    <w:uiPriority w:val="99"/>
    <w:pPr>
      <w:ind w:firstLine="420" w:firstLineChars="200"/>
    </w:pPr>
  </w:style>
  <w:style w:type="paragraph" w:customStyle="1" w:styleId="87">
    <w:name w:val="模板普通正文"/>
    <w:basedOn w:val="7"/>
    <w:qFormat/>
    <w:uiPriority w:val="99"/>
    <w:pPr>
      <w:spacing w:beforeLines="50" w:after="10"/>
      <w:ind w:firstLine="490" w:firstLineChars="175"/>
      <w:jc w:val="left"/>
    </w:pPr>
  </w:style>
  <w:style w:type="character" w:customStyle="1" w:styleId="88">
    <w:name w:val="NormalCharacter"/>
    <w:qFormat/>
    <w:uiPriority w:val="0"/>
  </w:style>
  <w:style w:type="paragraph" w:customStyle="1" w:styleId="8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90">
    <w:name w:val="font71"/>
    <w:basedOn w:val="30"/>
    <w:qFormat/>
    <w:uiPriority w:val="0"/>
    <w:rPr>
      <w:rFonts w:hint="eastAsia" w:ascii="宋体" w:hAnsi="宋体" w:eastAsia="宋体" w:cs="宋体"/>
      <w:color w:val="000000"/>
      <w:sz w:val="22"/>
      <w:szCs w:val="22"/>
      <w:u w:val="none"/>
    </w:rPr>
  </w:style>
  <w:style w:type="character" w:customStyle="1" w:styleId="91">
    <w:name w:val="font41"/>
    <w:basedOn w:val="30"/>
    <w:qFormat/>
    <w:uiPriority w:val="0"/>
    <w:rPr>
      <w:rFonts w:hint="eastAsia" w:ascii="宋体" w:hAnsi="宋体" w:eastAsia="宋体" w:cs="宋体"/>
      <w:color w:val="000000"/>
      <w:sz w:val="22"/>
      <w:szCs w:val="22"/>
      <w:u w:val="none"/>
    </w:rPr>
  </w:style>
  <w:style w:type="character" w:customStyle="1" w:styleId="92">
    <w:name w:val="font01"/>
    <w:basedOn w:val="30"/>
    <w:qFormat/>
    <w:uiPriority w:val="0"/>
    <w:rPr>
      <w:rFonts w:hint="eastAsia" w:ascii="宋体" w:hAnsi="宋体" w:eastAsia="宋体" w:cs="宋体"/>
      <w:b/>
      <w:bCs/>
      <w:color w:val="000000"/>
      <w:sz w:val="24"/>
      <w:szCs w:val="24"/>
      <w:u w:val="none"/>
    </w:rPr>
  </w:style>
  <w:style w:type="paragraph" w:customStyle="1" w:styleId="93">
    <w:name w:val="Char Char Char Char Char Char Char1 Char"/>
    <w:basedOn w:val="1"/>
    <w:qFormat/>
    <w:uiPriority w:val="0"/>
    <w:rPr>
      <w:rFonts w:ascii="Arial" w:hAnsi="Arial" w:cs="Arial"/>
      <w:sz w:val="24"/>
    </w:rPr>
  </w:style>
  <w:style w:type="paragraph" w:customStyle="1" w:styleId="94">
    <w:name w:val="正文首行缩进1"/>
    <w:basedOn w:val="12"/>
    <w:qFormat/>
    <w:uiPriority w:val="0"/>
    <w:pPr>
      <w:spacing w:after="120" w:afterAutospacing="0"/>
      <w:ind w:firstLine="420" w:firstLineChars="100"/>
    </w:pPr>
  </w:style>
  <w:style w:type="character" w:customStyle="1" w:styleId="95">
    <w:name w:val="font31"/>
    <w:basedOn w:val="30"/>
    <w:qFormat/>
    <w:uiPriority w:val="0"/>
    <w:rPr>
      <w:rFonts w:hint="default"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B1096-63DF-44B7-B72D-DD7819D2D5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4226</Words>
  <Characters>4453</Characters>
  <Lines>169</Lines>
  <Paragraphs>47</Paragraphs>
  <TotalTime>4</TotalTime>
  <ScaleCrop>false</ScaleCrop>
  <LinksUpToDate>false</LinksUpToDate>
  <CharactersWithSpaces>4458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2024-01-02T02:20:00Z</dcterms:created>
  <dc:creator>admin</dc:creator>
  <cp:lastModifiedBy>Administrator</cp:lastModifiedBy>
  <cp:lastPrinted>2023-06-07T01:32:00Z</cp:lastPrinted>
  <dcterms:modified xsi:type="dcterms:W3CDTF">2024-11-20T03:53:00Z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F4AFBF15F0EC4673837E8F2A431154E6_13</vt:lpwstr>
  </property>
  <property fmtid="{D5CDD505-2E9C-101B-9397-08002B2CF9AE}" pid="4" name="commondata">
    <vt:lpwstr>eyJoZGlkIjoiZDU2YjZhZmYxNTI5ZWY4NjEwNWYxYzM2ZWRmMDBmMTEifQ==</vt:lpwstr>
  </property>
</Properties>
</file>