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25868"/>
      <w:r>
        <w:rPr>
          <w:rFonts w:hint="eastAsia" w:ascii="宋体" w:hAnsi="宋体" w:cs="宋体"/>
          <w:b/>
          <w:sz w:val="32"/>
          <w:szCs w:val="32"/>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bookmarkStart w:id="1" w:name="_Toc12759"/>
      <w:bookmarkStart w:id="2" w:name="_Toc54941340"/>
      <w:bookmarkStart w:id="3" w:name="_Toc17641"/>
      <w:r>
        <w:rPr>
          <w:rFonts w:hint="eastAsia" w:ascii="宋体" w:hAnsi="宋体"/>
          <w:b/>
          <w:bCs/>
          <w:color w:val="auto"/>
          <w:szCs w:val="21"/>
          <w:highlight w:val="none"/>
          <w:lang w:val="en-US" w:eastAsia="zh-CN"/>
        </w:rPr>
        <w:t>1.</w:t>
      </w:r>
      <w:r>
        <w:rPr>
          <w:rFonts w:hint="eastAsia" w:ascii="宋体" w:hAnsi="宋体"/>
          <w:b/>
          <w:bCs/>
          <w:color w:val="auto"/>
          <w:szCs w:val="21"/>
          <w:highlight w:val="none"/>
        </w:rPr>
        <w:t>所投产品如有两票制要求则须执行两票制相关要求，所投产品如安徽省医药集中采购中心有相关要求，则须执行安徽省医药集中采购中心相关要求(如:在平台配送等)。</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highlight w:val="none"/>
          <w:lang w:val="en-US" w:eastAsia="zh-CN"/>
        </w:rPr>
      </w:pPr>
      <w:r>
        <w:rPr>
          <w:rFonts w:hint="eastAsia" w:ascii="宋体" w:hAnsi="宋体"/>
          <w:b/>
          <w:bCs/>
          <w:color w:val="auto"/>
          <w:szCs w:val="21"/>
          <w:highlight w:val="none"/>
          <w:lang w:val="en-US" w:eastAsia="zh-CN"/>
        </w:rPr>
        <w:t>2.</w:t>
      </w:r>
      <w:r>
        <w:rPr>
          <w:rFonts w:hint="eastAsia" w:ascii="宋体" w:hAnsi="宋体" w:cs="宋体"/>
          <w:b/>
          <w:bCs/>
          <w:highlight w:val="none"/>
          <w:lang w:val="en-US" w:eastAsia="zh-CN"/>
        </w:rPr>
        <w:t>投标人中标后在供货范围内按采购人要求的规格、型号供货；投标人中标后须提供与中标耗材配套的相应的配件（应考虑此项费用，采购人不再另行支付）。</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9839" w:type="dxa"/>
        <w:jc w:val="center"/>
        <w:tblLayout w:type="fixed"/>
        <w:tblCellMar>
          <w:top w:w="0" w:type="dxa"/>
          <w:left w:w="108" w:type="dxa"/>
          <w:bottom w:w="0" w:type="dxa"/>
          <w:right w:w="108" w:type="dxa"/>
        </w:tblCellMar>
      </w:tblPr>
      <w:tblGrid>
        <w:gridCol w:w="675"/>
        <w:gridCol w:w="3364"/>
        <w:gridCol w:w="1372"/>
        <w:gridCol w:w="992"/>
        <w:gridCol w:w="1177"/>
        <w:gridCol w:w="1568"/>
        <w:gridCol w:w="691"/>
      </w:tblGrid>
      <w:tr>
        <w:tblPrEx>
          <w:tblCellMar>
            <w:top w:w="0" w:type="dxa"/>
            <w:left w:w="108" w:type="dxa"/>
            <w:bottom w:w="0" w:type="dxa"/>
            <w:right w:w="108" w:type="dxa"/>
          </w:tblCellMar>
        </w:tblPrEx>
        <w:trPr>
          <w:trHeight w:val="634" w:hRule="atLeast"/>
          <w:jc w:val="center"/>
        </w:trPr>
        <w:tc>
          <w:tcPr>
            <w:tcW w:w="67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bookmarkStart w:id="4" w:name="_Hlk106267351"/>
            <w:bookmarkStart w:id="5" w:name="_Hlk96158360"/>
            <w:r>
              <w:rPr>
                <w:rFonts w:hint="eastAsia" w:ascii="宋体" w:hAnsi="宋体" w:cs="宋体"/>
                <w:b/>
                <w:bCs/>
                <w:color w:val="000000"/>
                <w:kern w:val="0"/>
                <w:sz w:val="22"/>
                <w:szCs w:val="22"/>
                <w:lang w:val="en-US" w:eastAsia="zh-CN" w:bidi="ar"/>
              </w:rPr>
              <w:t>序</w:t>
            </w:r>
            <w:r>
              <w:rPr>
                <w:rFonts w:hint="eastAsia" w:ascii="宋体" w:hAnsi="宋体" w:eastAsia="宋体" w:cs="宋体"/>
                <w:b/>
                <w:bCs/>
                <w:color w:val="000000"/>
                <w:kern w:val="0"/>
                <w:sz w:val="22"/>
                <w:szCs w:val="22"/>
                <w:lang w:bidi="ar"/>
              </w:rPr>
              <w:t>号</w:t>
            </w:r>
          </w:p>
        </w:tc>
        <w:tc>
          <w:tcPr>
            <w:tcW w:w="336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规格</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单位</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数</w:t>
            </w:r>
            <w:r>
              <w:rPr>
                <w:rFonts w:hint="eastAsia" w:ascii="宋体" w:hAnsi="宋体" w:eastAsia="宋体" w:cs="宋体"/>
                <w:b/>
                <w:bCs/>
                <w:color w:val="000000"/>
                <w:kern w:val="0"/>
                <w:sz w:val="22"/>
                <w:szCs w:val="22"/>
                <w:lang w:bidi="ar"/>
              </w:rPr>
              <w:t>量</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单价最高限价</w:t>
            </w:r>
            <w:r>
              <w:rPr>
                <w:rFonts w:hint="eastAsia" w:ascii="宋体" w:hAnsi="宋体" w:cs="宋体"/>
                <w:b/>
                <w:bCs/>
                <w:color w:val="000000"/>
                <w:kern w:val="0"/>
                <w:sz w:val="22"/>
                <w:szCs w:val="22"/>
                <w:lang w:val="en-US" w:eastAsia="zh-CN" w:bidi="ar"/>
              </w:rPr>
              <w:t>（元）</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备注</w:t>
            </w: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color w:val="000000"/>
                <w:sz w:val="20"/>
                <w:szCs w:val="20"/>
              </w:rPr>
              <w:t>1</w:t>
            </w:r>
          </w:p>
        </w:tc>
        <w:tc>
          <w:tcPr>
            <w:tcW w:w="33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抗A抗B血型定型试剂</w:t>
            </w:r>
          </w:p>
        </w:tc>
        <w:tc>
          <w:tcPr>
            <w:tcW w:w="137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10ml*2</w:t>
            </w:r>
          </w:p>
        </w:tc>
        <w:tc>
          <w:tcPr>
            <w:tcW w:w="99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7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CN" w:bidi="ar"/>
              </w:rPr>
              <w:t>60</w:t>
            </w:r>
          </w:p>
        </w:tc>
        <w:tc>
          <w:tcPr>
            <w:tcW w:w="156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33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血型定型试剂抗D（Rh）血型</w:t>
            </w:r>
          </w:p>
        </w:tc>
        <w:tc>
          <w:tcPr>
            <w:tcW w:w="137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w:t>
            </w:r>
          </w:p>
        </w:tc>
        <w:tc>
          <w:tcPr>
            <w:tcW w:w="99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7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56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33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凝聚胺介质试剂</w:t>
            </w:r>
          </w:p>
        </w:tc>
        <w:tc>
          <w:tcPr>
            <w:tcW w:w="137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150人份</w:t>
            </w:r>
          </w:p>
        </w:tc>
        <w:tc>
          <w:tcPr>
            <w:tcW w:w="99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7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56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33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12*100放免管</w:t>
            </w:r>
          </w:p>
        </w:tc>
        <w:tc>
          <w:tcPr>
            <w:tcW w:w="137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12*100mm</w:t>
            </w:r>
          </w:p>
        </w:tc>
        <w:tc>
          <w:tcPr>
            <w:tcW w:w="99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7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45000</w:t>
            </w:r>
          </w:p>
        </w:tc>
        <w:tc>
          <w:tcPr>
            <w:tcW w:w="156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955" w:hRule="atLeast"/>
          <w:jc w:val="center"/>
        </w:trPr>
        <w:tc>
          <w:tcPr>
            <w:tcW w:w="983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w:t>
            </w:r>
            <w:r>
              <w:rPr>
                <w:rFonts w:hint="eastAsia" w:ascii="宋体" w:hAnsi="宋体" w:cs="宋体"/>
                <w:lang w:val="en-US" w:eastAsia="zh-CN"/>
              </w:rPr>
              <w:t>三</w:t>
            </w:r>
            <w:r>
              <w:rPr>
                <w:rFonts w:hint="eastAsia" w:ascii="宋体" w:hAnsi="宋体" w:eastAsia="宋体" w:cs="宋体"/>
              </w:rPr>
              <w:t>年预估使用量仅代表医院过去</w:t>
            </w:r>
            <w:r>
              <w:rPr>
                <w:rFonts w:hint="eastAsia" w:ascii="宋体" w:hAnsi="宋体" w:cs="宋体"/>
                <w:lang w:val="en-US" w:eastAsia="zh-CN"/>
              </w:rPr>
              <w:t>3</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lang w:val="en-US" w:eastAsia="zh-CN"/>
              </w:rPr>
            </w:pPr>
            <w:r>
              <w:rPr>
                <w:rFonts w:hint="eastAsia" w:ascii="宋体" w:hAnsi="宋体" w:cs="宋体"/>
                <w:lang w:val="en-US" w:eastAsia="zh-CN"/>
              </w:rPr>
              <w:t>4.中标</w:t>
            </w:r>
            <w:r>
              <w:rPr>
                <w:rFonts w:hint="eastAsia" w:ascii="宋体" w:hAnsi="宋体" w:eastAsia="宋体" w:cs="宋体"/>
                <w:lang w:val="en-US" w:eastAsia="zh-CN"/>
              </w:rPr>
              <w:t>人供货价格计算方式如下:最高限价(单价)×</w:t>
            </w:r>
            <w:r>
              <w:rPr>
                <w:rFonts w:hint="eastAsia" w:ascii="宋体" w:hAnsi="宋体" w:cs="宋体"/>
                <w:lang w:val="en-US" w:eastAsia="zh-CN"/>
              </w:rPr>
              <w:t>中标</w:t>
            </w:r>
            <w:r>
              <w:rPr>
                <w:rFonts w:hint="eastAsia" w:ascii="宋体" w:hAnsi="宋体" w:eastAsia="宋体" w:cs="宋体"/>
                <w:lang w:val="en-US" w:eastAsia="zh-CN"/>
              </w:rPr>
              <w:t>费率=供货价格(单价)。如所投产品的安徽省医药集中采购中心平台限价低于该项目供货价格(单价)，则按平台限价(单价)×</w:t>
            </w:r>
            <w:r>
              <w:rPr>
                <w:rFonts w:hint="eastAsia" w:ascii="宋体" w:hAnsi="宋体" w:cs="宋体"/>
                <w:lang w:val="en-US" w:eastAsia="zh-CN"/>
              </w:rPr>
              <w:t>中标</w:t>
            </w:r>
            <w:r>
              <w:rPr>
                <w:rFonts w:hint="eastAsia" w:ascii="宋体" w:hAnsi="宋体" w:eastAsia="宋体" w:cs="宋体"/>
                <w:lang w:val="en-US" w:eastAsia="zh-CN"/>
              </w:rPr>
              <w:t>费率=供货价格(单价)。供货价格（单价）结果保留两位小数。</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宋体" w:hAnsi="宋体" w:eastAsia="宋体" w:cs="Times New Roman"/>
                <w:b/>
                <w:bCs/>
                <w:color w:val="auto"/>
                <w:kern w:val="2"/>
                <w:sz w:val="21"/>
                <w:szCs w:val="21"/>
                <w:highlight w:val="none"/>
                <w:shd w:val="clear"/>
                <w:lang w:val="en-US" w:eastAsia="zh-CN" w:bidi="ar-SA"/>
              </w:rPr>
              <w:t>本项目采取费率报价模式</w:t>
            </w:r>
            <w:r>
              <w:rPr>
                <w:rFonts w:hint="eastAsia" w:cs="Times New Roman"/>
                <w:b/>
                <w:bCs/>
                <w:color w:val="auto"/>
                <w:kern w:val="2"/>
                <w:sz w:val="21"/>
                <w:szCs w:val="21"/>
                <w:highlight w:val="none"/>
                <w:shd w:val="clear"/>
                <w:lang w:val="en-US" w:eastAsia="zh-CN" w:bidi="ar-SA"/>
              </w:rPr>
              <w:t>，</w:t>
            </w:r>
            <w:r>
              <w:rPr>
                <w:rFonts w:hint="eastAsia" w:ascii="宋体" w:hAnsi="宋体" w:eastAsia="宋体" w:cs="Times New Roman"/>
                <w:b/>
                <w:bCs/>
                <w:color w:val="auto"/>
                <w:kern w:val="2"/>
                <w:sz w:val="21"/>
                <w:szCs w:val="21"/>
                <w:highlight w:val="none"/>
                <w:shd w:val="clear"/>
                <w:lang w:val="en-US" w:eastAsia="zh-CN" w:bidi="ar-SA"/>
              </w:rPr>
              <w:t>最高费率100%。</w:t>
            </w:r>
          </w:p>
        </w:tc>
      </w:tr>
      <w:bookmarkEnd w:id="4"/>
      <w:bookmarkEnd w:id="5"/>
    </w:tbl>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7"/>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宋体" w:hAnsi="宋体" w:cs="宋体"/>
          <w:szCs w:val="21"/>
          <w:highlight w:val="none"/>
          <w:lang w:val="en-US" w:eastAsia="zh-CN"/>
        </w:rPr>
        <w:t>自合同执行日起三</w:t>
      </w:r>
      <w:r>
        <w:rPr>
          <w:rFonts w:hint="eastAsia" w:ascii="宋体" w:hAnsi="宋体" w:cs="宋体"/>
          <w:szCs w:val="21"/>
          <w:highlight w:val="none"/>
        </w:rPr>
        <w:t>年或采购费用总额达到本项目总中标价</w:t>
      </w:r>
      <w:r>
        <w:rPr>
          <w:rFonts w:hint="eastAsia" w:ascii="宋体" w:hAnsi="宋体" w:cs="宋体"/>
          <w:szCs w:val="21"/>
          <w:highlight w:val="none"/>
          <w:lang w:eastAsia="zh-CN"/>
        </w:rPr>
        <w:t>（</w:t>
      </w:r>
      <w:r>
        <w:rPr>
          <w:rFonts w:hint="eastAsia" w:ascii="宋体" w:hAnsi="宋体" w:cs="宋体"/>
          <w:szCs w:val="21"/>
          <w:highlight w:val="none"/>
          <w:lang w:val="en-US" w:eastAsia="zh-CN"/>
        </w:rPr>
        <w:t>预算金额*中标费率</w:t>
      </w:r>
      <w:r>
        <w:rPr>
          <w:rFonts w:hint="eastAsia" w:ascii="宋体" w:hAnsi="宋体" w:cs="宋体"/>
          <w:szCs w:val="21"/>
          <w:highlight w:val="none"/>
          <w:lang w:eastAsia="zh-CN"/>
        </w:rPr>
        <w:t>）</w:t>
      </w:r>
      <w:r>
        <w:rPr>
          <w:rFonts w:hint="eastAsia" w:ascii="宋体" w:hAnsi="宋体" w:cs="宋体"/>
          <w:szCs w:val="21"/>
          <w:highlight w:val="none"/>
        </w:rPr>
        <w:t>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bookmarkStart w:id="6" w:name="_GoBack"/>
      <w:bookmarkEnd w:id="6"/>
      <w:r>
        <w:rPr>
          <w:rFonts w:hint="eastAsia" w:ascii="宋体" w:hAnsi="宋体" w:cs="宋体"/>
          <w:color w:val="auto"/>
          <w:szCs w:val="21"/>
        </w:rPr>
        <w:br w:type="textWrapping"/>
      </w:r>
      <w:r>
        <w:rPr>
          <w:rFonts w:hint="eastAsia" w:ascii="宋体" w:hAnsi="宋体" w:eastAsia="宋体" w:cs="宋体"/>
          <w:b/>
          <w:color w:val="auto"/>
          <w:szCs w:val="21"/>
          <w:lang w:val="en-US" w:eastAsia="zh-CN"/>
        </w:rPr>
        <w:t>六</w:t>
      </w:r>
      <w:r>
        <w:rPr>
          <w:rFonts w:hint="eastAsia" w:ascii="宋体" w:hAnsi="宋体" w:eastAsia="宋体" w:cs="宋体"/>
          <w:b/>
          <w:color w:val="auto"/>
          <w:szCs w:val="21"/>
        </w:rPr>
        <w:t>、付款方式</w:t>
      </w:r>
    </w:p>
    <w:p>
      <w:pPr>
        <w:pStyle w:val="9"/>
        <w:spacing w:line="360" w:lineRule="auto"/>
        <w:ind w:firstLine="420" w:firstLineChars="200"/>
        <w:jc w:val="left"/>
        <w:outlineLvl w:val="0"/>
        <w:rPr>
          <w:rFonts w:ascii="宋体" w:cs="宋体"/>
          <w:b/>
          <w:spacing w:val="-4"/>
          <w:kern w:val="0"/>
          <w:szCs w:val="21"/>
        </w:rPr>
      </w:pPr>
      <w:r>
        <w:rPr>
          <w:rFonts w:hint="eastAsia" w:ascii="宋体" w:hAnsi="宋体" w:cs="宋体"/>
          <w:color w:val="auto"/>
          <w:szCs w:val="21"/>
          <w:lang w:eastAsia="zh-CN"/>
        </w:rPr>
        <w:t>合同签订后按甲方计划要求分批供货，按实结算，货到验收合格、收到正规发票后6个月内付款。</w:t>
      </w:r>
      <w:bookmarkEnd w:id="1"/>
      <w:bookmarkEnd w:id="2"/>
      <w:bookmarkEnd w:id="3"/>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F280C"/>
    <w:rsid w:val="01DD1261"/>
    <w:rsid w:val="01DD20DB"/>
    <w:rsid w:val="01F1776D"/>
    <w:rsid w:val="01F74ED2"/>
    <w:rsid w:val="02A4044F"/>
    <w:rsid w:val="02A47524"/>
    <w:rsid w:val="02F9494E"/>
    <w:rsid w:val="034C3F47"/>
    <w:rsid w:val="04B468E6"/>
    <w:rsid w:val="04BC3FEE"/>
    <w:rsid w:val="04C579CE"/>
    <w:rsid w:val="04F91C2B"/>
    <w:rsid w:val="05025778"/>
    <w:rsid w:val="058101E9"/>
    <w:rsid w:val="05DD4740"/>
    <w:rsid w:val="06B833C2"/>
    <w:rsid w:val="06D76104"/>
    <w:rsid w:val="079D243D"/>
    <w:rsid w:val="07F76A95"/>
    <w:rsid w:val="093A7BC5"/>
    <w:rsid w:val="094B2EAA"/>
    <w:rsid w:val="09D34DE1"/>
    <w:rsid w:val="0A333843"/>
    <w:rsid w:val="0A3F71E7"/>
    <w:rsid w:val="0AC34DE5"/>
    <w:rsid w:val="0ACB3F64"/>
    <w:rsid w:val="0AFF17D1"/>
    <w:rsid w:val="0B1E5DA2"/>
    <w:rsid w:val="0BAE3FF6"/>
    <w:rsid w:val="0BE67BA2"/>
    <w:rsid w:val="0C136845"/>
    <w:rsid w:val="0CB30382"/>
    <w:rsid w:val="0CEE5097"/>
    <w:rsid w:val="0D844B1B"/>
    <w:rsid w:val="0DA31D53"/>
    <w:rsid w:val="0DEA7C6A"/>
    <w:rsid w:val="0E6D0C38"/>
    <w:rsid w:val="0EA16002"/>
    <w:rsid w:val="0ED44466"/>
    <w:rsid w:val="0EDF30E4"/>
    <w:rsid w:val="0F242EBB"/>
    <w:rsid w:val="0F2D720E"/>
    <w:rsid w:val="0F3C3479"/>
    <w:rsid w:val="0F736CB4"/>
    <w:rsid w:val="0FD61363"/>
    <w:rsid w:val="10360106"/>
    <w:rsid w:val="10545C7A"/>
    <w:rsid w:val="10D246C9"/>
    <w:rsid w:val="10E04761"/>
    <w:rsid w:val="113C03CA"/>
    <w:rsid w:val="118743B9"/>
    <w:rsid w:val="11E971EE"/>
    <w:rsid w:val="11F87B5C"/>
    <w:rsid w:val="128560F7"/>
    <w:rsid w:val="12BE6C61"/>
    <w:rsid w:val="136F0CDE"/>
    <w:rsid w:val="144A7B7E"/>
    <w:rsid w:val="14B71F90"/>
    <w:rsid w:val="14CF5677"/>
    <w:rsid w:val="15E24861"/>
    <w:rsid w:val="17445295"/>
    <w:rsid w:val="175A5BA4"/>
    <w:rsid w:val="1806160D"/>
    <w:rsid w:val="18316AE0"/>
    <w:rsid w:val="1892729A"/>
    <w:rsid w:val="18E84F59"/>
    <w:rsid w:val="19595811"/>
    <w:rsid w:val="1963331A"/>
    <w:rsid w:val="1A05104C"/>
    <w:rsid w:val="1A77355B"/>
    <w:rsid w:val="1ABD518E"/>
    <w:rsid w:val="1B522ECD"/>
    <w:rsid w:val="1B702014"/>
    <w:rsid w:val="1B75684C"/>
    <w:rsid w:val="1BC80A07"/>
    <w:rsid w:val="1C2D398E"/>
    <w:rsid w:val="1CAA04B1"/>
    <w:rsid w:val="1CD203FA"/>
    <w:rsid w:val="1D2C5CCF"/>
    <w:rsid w:val="1D2D5631"/>
    <w:rsid w:val="1D6923E1"/>
    <w:rsid w:val="1D7E40DE"/>
    <w:rsid w:val="1DF06286"/>
    <w:rsid w:val="1E3D63F2"/>
    <w:rsid w:val="1EFC19C5"/>
    <w:rsid w:val="1F5D2A4B"/>
    <w:rsid w:val="1F93589B"/>
    <w:rsid w:val="1F987F3E"/>
    <w:rsid w:val="204E76A8"/>
    <w:rsid w:val="20C90716"/>
    <w:rsid w:val="20D52888"/>
    <w:rsid w:val="211656FA"/>
    <w:rsid w:val="217F179B"/>
    <w:rsid w:val="219F7FA9"/>
    <w:rsid w:val="21E92449"/>
    <w:rsid w:val="21F133FA"/>
    <w:rsid w:val="233B157D"/>
    <w:rsid w:val="24350BEC"/>
    <w:rsid w:val="24497549"/>
    <w:rsid w:val="24AD3FD5"/>
    <w:rsid w:val="255B41CD"/>
    <w:rsid w:val="25A93F7B"/>
    <w:rsid w:val="25E00DFC"/>
    <w:rsid w:val="26926505"/>
    <w:rsid w:val="26CF4677"/>
    <w:rsid w:val="26F868E4"/>
    <w:rsid w:val="27527065"/>
    <w:rsid w:val="279F6AFD"/>
    <w:rsid w:val="28363BC8"/>
    <w:rsid w:val="28D56B7C"/>
    <w:rsid w:val="29001E4B"/>
    <w:rsid w:val="29375507"/>
    <w:rsid w:val="29FC7AA2"/>
    <w:rsid w:val="2A242446"/>
    <w:rsid w:val="2A902C50"/>
    <w:rsid w:val="2AB32B73"/>
    <w:rsid w:val="2B762790"/>
    <w:rsid w:val="2C2A30EA"/>
    <w:rsid w:val="2C6501B2"/>
    <w:rsid w:val="2CB72E34"/>
    <w:rsid w:val="2CD92DEC"/>
    <w:rsid w:val="2D4F1E09"/>
    <w:rsid w:val="2DBB39A9"/>
    <w:rsid w:val="2DDF5E3D"/>
    <w:rsid w:val="2DF751F3"/>
    <w:rsid w:val="2DFB5CB4"/>
    <w:rsid w:val="2E3968D2"/>
    <w:rsid w:val="2E4E3659"/>
    <w:rsid w:val="2E5D156D"/>
    <w:rsid w:val="2E6B0A76"/>
    <w:rsid w:val="2ECB0D44"/>
    <w:rsid w:val="2ED75A9F"/>
    <w:rsid w:val="2F474DBC"/>
    <w:rsid w:val="2F4768D7"/>
    <w:rsid w:val="2F5842D0"/>
    <w:rsid w:val="2F8E0B2C"/>
    <w:rsid w:val="303F594F"/>
    <w:rsid w:val="30A752A2"/>
    <w:rsid w:val="313A1C72"/>
    <w:rsid w:val="31441B75"/>
    <w:rsid w:val="314B586D"/>
    <w:rsid w:val="317C672F"/>
    <w:rsid w:val="31C00DA6"/>
    <w:rsid w:val="31CE0296"/>
    <w:rsid w:val="31D8203D"/>
    <w:rsid w:val="31DA771B"/>
    <w:rsid w:val="31FB2B51"/>
    <w:rsid w:val="32034DFD"/>
    <w:rsid w:val="324C45D5"/>
    <w:rsid w:val="327E1DF8"/>
    <w:rsid w:val="33961AE3"/>
    <w:rsid w:val="33F16F60"/>
    <w:rsid w:val="341858C0"/>
    <w:rsid w:val="348712CA"/>
    <w:rsid w:val="35B4432A"/>
    <w:rsid w:val="35BD418B"/>
    <w:rsid w:val="35F8221C"/>
    <w:rsid w:val="375743B3"/>
    <w:rsid w:val="375B2CD5"/>
    <w:rsid w:val="3763390A"/>
    <w:rsid w:val="37670C16"/>
    <w:rsid w:val="37682226"/>
    <w:rsid w:val="37F63AB6"/>
    <w:rsid w:val="37FE068E"/>
    <w:rsid w:val="39262D30"/>
    <w:rsid w:val="392E0314"/>
    <w:rsid w:val="3A2101CB"/>
    <w:rsid w:val="3A5C2DAD"/>
    <w:rsid w:val="3B5A2682"/>
    <w:rsid w:val="3C8A392F"/>
    <w:rsid w:val="3C926D5D"/>
    <w:rsid w:val="3D023F8C"/>
    <w:rsid w:val="3D48018B"/>
    <w:rsid w:val="3D7F41D3"/>
    <w:rsid w:val="3D997F87"/>
    <w:rsid w:val="3DF37D79"/>
    <w:rsid w:val="3E340382"/>
    <w:rsid w:val="3E3942CD"/>
    <w:rsid w:val="3E532EF3"/>
    <w:rsid w:val="3E730A19"/>
    <w:rsid w:val="3E7D3FA9"/>
    <w:rsid w:val="3EB76FF8"/>
    <w:rsid w:val="3F366C2F"/>
    <w:rsid w:val="40245436"/>
    <w:rsid w:val="40777328"/>
    <w:rsid w:val="40C32167"/>
    <w:rsid w:val="40F23BB2"/>
    <w:rsid w:val="415B0E95"/>
    <w:rsid w:val="41C43066"/>
    <w:rsid w:val="41C84F24"/>
    <w:rsid w:val="41E214AE"/>
    <w:rsid w:val="41E2265E"/>
    <w:rsid w:val="42380803"/>
    <w:rsid w:val="429D5EF4"/>
    <w:rsid w:val="42B45D29"/>
    <w:rsid w:val="42C2426D"/>
    <w:rsid w:val="43456981"/>
    <w:rsid w:val="437B51B1"/>
    <w:rsid w:val="43906743"/>
    <w:rsid w:val="43CE14F2"/>
    <w:rsid w:val="445B4643"/>
    <w:rsid w:val="44D32939"/>
    <w:rsid w:val="451330F9"/>
    <w:rsid w:val="457D18FA"/>
    <w:rsid w:val="45F032F0"/>
    <w:rsid w:val="46210ED7"/>
    <w:rsid w:val="462D37C9"/>
    <w:rsid w:val="467A1037"/>
    <w:rsid w:val="475204DD"/>
    <w:rsid w:val="47E979D7"/>
    <w:rsid w:val="482A4D97"/>
    <w:rsid w:val="482B1F40"/>
    <w:rsid w:val="49B02CBC"/>
    <w:rsid w:val="4A7E3CF4"/>
    <w:rsid w:val="4B154506"/>
    <w:rsid w:val="4B2E23F0"/>
    <w:rsid w:val="4B367F93"/>
    <w:rsid w:val="4B5A5658"/>
    <w:rsid w:val="4B673262"/>
    <w:rsid w:val="4C815910"/>
    <w:rsid w:val="4CE52F83"/>
    <w:rsid w:val="4D3554D2"/>
    <w:rsid w:val="4D6E513D"/>
    <w:rsid w:val="4DD00FA2"/>
    <w:rsid w:val="4E225DBE"/>
    <w:rsid w:val="4E2C5D94"/>
    <w:rsid w:val="4EEF501A"/>
    <w:rsid w:val="512B026F"/>
    <w:rsid w:val="516D7533"/>
    <w:rsid w:val="523217F0"/>
    <w:rsid w:val="53083C4A"/>
    <w:rsid w:val="53282ABD"/>
    <w:rsid w:val="53A034C7"/>
    <w:rsid w:val="53EB6204"/>
    <w:rsid w:val="54190C85"/>
    <w:rsid w:val="5464741F"/>
    <w:rsid w:val="547075D6"/>
    <w:rsid w:val="54C315C8"/>
    <w:rsid w:val="54DF07ED"/>
    <w:rsid w:val="54FF3AD6"/>
    <w:rsid w:val="559D4986"/>
    <w:rsid w:val="559E35BC"/>
    <w:rsid w:val="55AA2FBB"/>
    <w:rsid w:val="569D0B8E"/>
    <w:rsid w:val="56DF1904"/>
    <w:rsid w:val="56EE232A"/>
    <w:rsid w:val="56FE711B"/>
    <w:rsid w:val="57793128"/>
    <w:rsid w:val="579F706F"/>
    <w:rsid w:val="57B64EDC"/>
    <w:rsid w:val="57B679F5"/>
    <w:rsid w:val="58AE5938"/>
    <w:rsid w:val="58EA3EBC"/>
    <w:rsid w:val="59262959"/>
    <w:rsid w:val="592B2C50"/>
    <w:rsid w:val="59A65848"/>
    <w:rsid w:val="5AC92D10"/>
    <w:rsid w:val="5AD6220A"/>
    <w:rsid w:val="5B1927DE"/>
    <w:rsid w:val="5B302BB2"/>
    <w:rsid w:val="5B3E5BFD"/>
    <w:rsid w:val="5B8002C1"/>
    <w:rsid w:val="5BB406F0"/>
    <w:rsid w:val="5BB4682B"/>
    <w:rsid w:val="5BF255C4"/>
    <w:rsid w:val="5BFA2590"/>
    <w:rsid w:val="5C021B38"/>
    <w:rsid w:val="5C2C5C63"/>
    <w:rsid w:val="5CAD0E6B"/>
    <w:rsid w:val="5D570CFE"/>
    <w:rsid w:val="5D752454"/>
    <w:rsid w:val="5D79399F"/>
    <w:rsid w:val="5DD92CFB"/>
    <w:rsid w:val="5E394721"/>
    <w:rsid w:val="5EA91607"/>
    <w:rsid w:val="5EB20580"/>
    <w:rsid w:val="5F0E6369"/>
    <w:rsid w:val="5F1F2324"/>
    <w:rsid w:val="5F9018E4"/>
    <w:rsid w:val="5FC15189"/>
    <w:rsid w:val="603E4967"/>
    <w:rsid w:val="603F04A3"/>
    <w:rsid w:val="605C25B1"/>
    <w:rsid w:val="607B1FFF"/>
    <w:rsid w:val="607C5DF7"/>
    <w:rsid w:val="608002A2"/>
    <w:rsid w:val="608C4489"/>
    <w:rsid w:val="60A775D7"/>
    <w:rsid w:val="611D070A"/>
    <w:rsid w:val="614F7E1C"/>
    <w:rsid w:val="61BA4586"/>
    <w:rsid w:val="6202002B"/>
    <w:rsid w:val="621A6DD3"/>
    <w:rsid w:val="6271541F"/>
    <w:rsid w:val="629C1E11"/>
    <w:rsid w:val="62D13DCC"/>
    <w:rsid w:val="631559FD"/>
    <w:rsid w:val="634424EB"/>
    <w:rsid w:val="637A0055"/>
    <w:rsid w:val="63891945"/>
    <w:rsid w:val="639860B9"/>
    <w:rsid w:val="641E2BAA"/>
    <w:rsid w:val="64C53799"/>
    <w:rsid w:val="64DA4DC9"/>
    <w:rsid w:val="64DB064A"/>
    <w:rsid w:val="65A915AA"/>
    <w:rsid w:val="66BD0545"/>
    <w:rsid w:val="66C85368"/>
    <w:rsid w:val="67322189"/>
    <w:rsid w:val="67E71B6D"/>
    <w:rsid w:val="68907DEF"/>
    <w:rsid w:val="68C448EF"/>
    <w:rsid w:val="68CD326E"/>
    <w:rsid w:val="69120CB6"/>
    <w:rsid w:val="69BE41E9"/>
    <w:rsid w:val="6ACD1051"/>
    <w:rsid w:val="6B074824"/>
    <w:rsid w:val="6B69597E"/>
    <w:rsid w:val="6BD749FF"/>
    <w:rsid w:val="6C094140"/>
    <w:rsid w:val="6C485F7C"/>
    <w:rsid w:val="6CB00A5F"/>
    <w:rsid w:val="6CEE00E2"/>
    <w:rsid w:val="6D61130D"/>
    <w:rsid w:val="6DA43DCA"/>
    <w:rsid w:val="6ECA0980"/>
    <w:rsid w:val="6FBB10C2"/>
    <w:rsid w:val="6FF8227C"/>
    <w:rsid w:val="70310798"/>
    <w:rsid w:val="70626FA0"/>
    <w:rsid w:val="708A5434"/>
    <w:rsid w:val="709122BC"/>
    <w:rsid w:val="70D25448"/>
    <w:rsid w:val="70F63CBF"/>
    <w:rsid w:val="717B478B"/>
    <w:rsid w:val="71E46044"/>
    <w:rsid w:val="71EE7F33"/>
    <w:rsid w:val="72013802"/>
    <w:rsid w:val="72A050D2"/>
    <w:rsid w:val="72F378F8"/>
    <w:rsid w:val="73013DC3"/>
    <w:rsid w:val="734E77A9"/>
    <w:rsid w:val="738E335A"/>
    <w:rsid w:val="73A017A5"/>
    <w:rsid w:val="73C573AD"/>
    <w:rsid w:val="741D486E"/>
    <w:rsid w:val="74275AAB"/>
    <w:rsid w:val="74793927"/>
    <w:rsid w:val="74862826"/>
    <w:rsid w:val="74932F1B"/>
    <w:rsid w:val="75910B38"/>
    <w:rsid w:val="75C16B30"/>
    <w:rsid w:val="763007E8"/>
    <w:rsid w:val="768C364E"/>
    <w:rsid w:val="77095CC9"/>
    <w:rsid w:val="779C5280"/>
    <w:rsid w:val="77C356D5"/>
    <w:rsid w:val="78430A3F"/>
    <w:rsid w:val="78670889"/>
    <w:rsid w:val="786C43D6"/>
    <w:rsid w:val="78A72A5B"/>
    <w:rsid w:val="7940553B"/>
    <w:rsid w:val="7AE07019"/>
    <w:rsid w:val="7AFD4FEE"/>
    <w:rsid w:val="7B2B25B6"/>
    <w:rsid w:val="7BD365A2"/>
    <w:rsid w:val="7CE7227B"/>
    <w:rsid w:val="7D0F62DF"/>
    <w:rsid w:val="7E0218C5"/>
    <w:rsid w:val="7E3F7DA6"/>
    <w:rsid w:val="7E455529"/>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link w:val="173"/>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w:basedOn w:val="1"/>
    <w:link w:val="80"/>
    <w:qFormat/>
    <w:uiPriority w:val="0"/>
    <w:rPr>
      <w:rFonts w:ascii="楷体_GB2312" w:hAnsi="Arial" w:eastAsia="楷体_GB2312"/>
      <w:sz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5"/>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4"/>
    <w:qFormat/>
    <w:uiPriority w:val="0"/>
    <w:pPr>
      <w:ind w:left="100" w:leftChars="2500"/>
    </w:pPr>
    <w:rPr>
      <w:sz w:val="20"/>
    </w:rPr>
  </w:style>
  <w:style w:type="paragraph" w:styleId="36">
    <w:name w:val="Body Text Indent 2"/>
    <w:basedOn w:val="1"/>
    <w:link w:val="167"/>
    <w:qFormat/>
    <w:uiPriority w:val="0"/>
    <w:pPr>
      <w:ind w:left="630" w:firstLine="645"/>
    </w:pPr>
    <w:rPr>
      <w:sz w:val="20"/>
    </w:rPr>
  </w:style>
  <w:style w:type="paragraph" w:styleId="37">
    <w:name w:val="endnote text"/>
    <w:basedOn w:val="1"/>
    <w:link w:val="210"/>
    <w:qFormat/>
    <w:uiPriority w:val="0"/>
    <w:pPr>
      <w:snapToGrid w:val="0"/>
      <w:jc w:val="left"/>
    </w:pPr>
    <w:rPr>
      <w:kern w:val="0"/>
      <w:sz w:val="24"/>
      <w:szCs w:val="24"/>
    </w:rPr>
  </w:style>
  <w:style w:type="paragraph" w:styleId="38">
    <w:name w:val="Balloon Text"/>
    <w:basedOn w:val="1"/>
    <w:link w:val="209"/>
    <w:qFormat/>
    <w:uiPriority w:val="0"/>
    <w:rPr>
      <w:sz w:val="18"/>
      <w:szCs w:val="18"/>
    </w:rPr>
  </w:style>
  <w:style w:type="paragraph" w:styleId="39">
    <w:name w:val="footer"/>
    <w:basedOn w:val="1"/>
    <w:link w:val="202"/>
    <w:qFormat/>
    <w:uiPriority w:val="0"/>
    <w:pPr>
      <w:tabs>
        <w:tab w:val="center" w:pos="4153"/>
        <w:tab w:val="right" w:pos="8306"/>
      </w:tabs>
      <w:snapToGrid w:val="0"/>
      <w:jc w:val="left"/>
    </w:pPr>
    <w:rPr>
      <w:sz w:val="18"/>
      <w:szCs w:val="18"/>
    </w:rPr>
  </w:style>
  <w:style w:type="paragraph" w:styleId="40">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7"/>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7"/>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7"/>
    <w:qFormat/>
    <w:uiPriority w:val="0"/>
    <w:pPr>
      <w:widowControl/>
      <w:jc w:val="center"/>
    </w:pPr>
    <w:rPr>
      <w:rFonts w:ascii="楷体_GB2312" w:eastAsia="楷体_GB2312"/>
      <w:sz w:val="20"/>
    </w:rPr>
  </w:style>
  <w:style w:type="paragraph" w:styleId="56">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2"/>
    <w:next w:val="22"/>
    <w:link w:val="148"/>
    <w:qFormat/>
    <w:uiPriority w:val="0"/>
    <w:rPr>
      <w:b/>
      <w:bCs/>
    </w:rPr>
  </w:style>
  <w:style w:type="paragraph" w:styleId="61">
    <w:name w:val="Body Text First Indent"/>
    <w:basedOn w:val="26"/>
    <w:next w:val="1"/>
    <w:link w:val="109"/>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6"/>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8"/>
    <w:qFormat/>
    <w:uiPriority w:val="0"/>
    <w:rPr>
      <w:rFonts w:ascii="Arial" w:hAnsi="Arial" w:eastAsia="黑体" w:cs="Times New Roman"/>
      <w:b/>
      <w:sz w:val="20"/>
      <w:szCs w:val="20"/>
    </w:rPr>
  </w:style>
  <w:style w:type="character" w:customStyle="1" w:styleId="93">
    <w:name w:val="正文文本 3 字符"/>
    <w:basedOn w:val="64"/>
    <w:link w:val="25"/>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1"/>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9"/>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2"/>
    <w:qFormat/>
    <w:uiPriority w:val="99"/>
    <w:rPr>
      <w:rFonts w:ascii="宋体" w:hAnsi="Courier New" w:cs="Courier New"/>
      <w:kern w:val="2"/>
      <w:sz w:val="21"/>
      <w:szCs w:val="21"/>
    </w:rPr>
  </w:style>
  <w:style w:type="character" w:customStyle="1" w:styleId="126">
    <w:name w:val="标题 6 字符"/>
    <w:basedOn w:val="64"/>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1"/>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7"/>
    <w:qFormat/>
    <w:uiPriority w:val="0"/>
    <w:rPr>
      <w:rFonts w:ascii="Times New Roman" w:hAnsi="Times New Roman" w:eastAsia="宋体" w:cs="Times New Roman"/>
      <w:sz w:val="18"/>
      <w:szCs w:val="18"/>
    </w:rPr>
  </w:style>
  <w:style w:type="character" w:customStyle="1" w:styleId="138">
    <w:name w:val="页眉 字符"/>
    <w:basedOn w:val="64"/>
    <w:link w:val="40"/>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2"/>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5"/>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0"/>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4"/>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6"/>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6"/>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3"/>
    <w:qFormat/>
    <w:uiPriority w:val="0"/>
    <w:rPr>
      <w:rFonts w:ascii="Times New Roman" w:hAnsi="Times New Roman"/>
      <w:kern w:val="2"/>
      <w:sz w:val="21"/>
    </w:rPr>
  </w:style>
  <w:style w:type="character" w:customStyle="1" w:styleId="174">
    <w:name w:val="标题 字符"/>
    <w:basedOn w:val="64"/>
    <w:link w:val="59"/>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5"/>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5"/>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9"/>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8"/>
    <w:qFormat/>
    <w:uiPriority w:val="0"/>
    <w:rPr>
      <w:rFonts w:ascii="Times New Roman" w:hAnsi="Times New Roman" w:eastAsia="宋体" w:cs="Times New Roman"/>
      <w:sz w:val="18"/>
      <w:szCs w:val="18"/>
    </w:rPr>
  </w:style>
  <w:style w:type="character" w:customStyle="1" w:styleId="210">
    <w:name w:val="尾注文本 字符"/>
    <w:basedOn w:val="64"/>
    <w:link w:val="37"/>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9"/>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6"/>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5"/>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3"/>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6"/>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3"/>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 w:type="paragraph" w:customStyle="1" w:styleId="428">
    <w:name w:val="正文首行缩进1"/>
    <w:basedOn w:val="26"/>
    <w:qFormat/>
    <w:uiPriority w:val="0"/>
    <w:pPr>
      <w:spacing w:after="12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2837</Words>
  <Characters>16174</Characters>
  <Lines>134</Lines>
  <Paragraphs>37</Paragraphs>
  <TotalTime>12</TotalTime>
  <ScaleCrop>false</ScaleCrop>
  <LinksUpToDate>false</LinksUpToDate>
  <CharactersWithSpaces>18974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2025-02-05T07:23:39Z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