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临床思维训练系统需求参</w:t>
      </w:r>
      <w:bookmarkStart w:id="0" w:name="_GoBack"/>
      <w:bookmarkEnd w:id="0"/>
      <w:r>
        <w:rPr>
          <w:rFonts w:hint="eastAsia"/>
          <w:lang w:val="en-US" w:eastAsia="zh-CN"/>
        </w:rPr>
        <w:t>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1..支持对机构、科室、部门、岗位等基础信息进行配置。支持人员信息的手工录入和批量导入，可对人员设置业务角色，分配不同的业务功能；支持多维度查询人员档案并维护。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2..提拱内置病例资源：包括但不限于单路径多病程病例资源、多路径多病程病例资源、CTA病例资源等。</w:t>
      </w:r>
      <w:r>
        <w:rPr>
          <w:rFonts w:hint="eastAsia"/>
        </w:rPr>
        <w:t>案例逻辑设置合理，案例素材不涉及病人隐私，不存在法律纠纷。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3.支持学员自主训练，可自主选择训练模式和训练内容，并可对训练成绩进行分析；支持在线研讨、在线考试等功能，并可对研讨、考试结果进行分析，含能力维度评价、操作分析及答案对照等。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支持课程的创建和发布，课程管理与临床思维训练深度结合；可自定义课程的流程配置；支持对课程进行意见采集。支持学员通过移动端加入课程；支持教师进行线上课堂授课，并实时了解学员学习情况，查看学员成绩和排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5.提供云服务器，保障系统稳定性与安全性；基于</w:t>
      </w:r>
      <w:r>
        <w:rPr>
          <w:rFonts w:hint="eastAsia"/>
        </w:rPr>
        <w:t>B/S架构搭建，遵循Web2.0标准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前端界面展示</w:t>
      </w:r>
      <w:r>
        <w:rPr>
          <w:rFonts w:hint="eastAsia"/>
          <w:lang w:val="en-US" w:eastAsia="zh-CN"/>
        </w:rPr>
        <w:t>和系统交互稳定流畅，</w:t>
      </w:r>
      <w:r>
        <w:rPr>
          <w:rFonts w:hint="eastAsia"/>
        </w:rPr>
        <w:t>后端逻辑处理与数据管理能力</w:t>
      </w:r>
      <w:r>
        <w:rPr>
          <w:rFonts w:hint="eastAsia"/>
          <w:lang w:val="en-US" w:eastAsia="zh-CN"/>
        </w:rPr>
        <w:t>强大</w:t>
      </w:r>
      <w:r>
        <w:rPr>
          <w:rFonts w:hint="eastAsia"/>
        </w:rPr>
        <w:t>，支持跨平台使用。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6.支持多终端访问，PC网页端提供完整功能访问，适配主流浏览器；APP端适配IOS和ANDROID系统；支持微信小程序访问核心功能。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65E4D"/>
    <w:rsid w:val="48265E4D"/>
    <w:rsid w:val="59313DB3"/>
    <w:rsid w:val="61A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标题 3 + 右侧:  0.49 字符"/>
    <w:basedOn w:val="2"/>
    <w:qFormat/>
    <w:uiPriority w:val="99"/>
    <w:pPr>
      <w:ind w:right="137" w:firstLine="138" w:firstLineChars="49"/>
    </w:pPr>
    <w:rPr>
      <w:rFonts w:cs="宋体"/>
      <w:szCs w:val="20"/>
    </w:r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2025-05-18T13:31:00Z</dcterms:created>
  <dc:creator>几何</dc:creator>
  <cp:lastModifiedBy>几何</cp:lastModifiedBy>
  <dcterms:modified xsi:type="dcterms:W3CDTF">2025-05-19T04:45:33Z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3733581C3C254CCAB8FBBECBDC6861B4_11</vt:lpwstr>
  </property>
  <property fmtid="{D5CDD505-2E9C-101B-9397-08002B2CF9AE}" pid="4" name="KSOTemplateDocerSaveRecord">
    <vt:lpwstr>eyJoZGlkIjoiMzRkMWJlZDhkZDBkYzZmZmQ5NDE2M2JiOGM4YTAxNjEiLCJ1c2VySWQiOiIyODgyODAwNjAifQ==</vt:lpwstr>
  </property>
</Properties>
</file>