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48F20">
      <w:pPr>
        <w:spacing w:line="480" w:lineRule="exact"/>
        <w:jc w:val="center"/>
        <w:rPr>
          <w:rFonts w:ascii="宋体" w:cs="宋体"/>
          <w:b/>
          <w:bCs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2"/>
          <w:sz w:val="32"/>
          <w:szCs w:val="32"/>
          <w:highlight w:val="none"/>
          <w:lang w:val="zh-CN" w:eastAsia="zh-CN" w:bidi="ar-SA"/>
        </w:rPr>
        <w:t>货物需求及参数要求</w:t>
      </w:r>
    </w:p>
    <w:p w14:paraId="5C7966E4">
      <w:pPr>
        <w:widowControl/>
        <w:spacing w:line="500" w:lineRule="exact"/>
        <w:ind w:firstLine="422" w:firstLineChars="200"/>
        <w:jc w:val="left"/>
        <w:rPr>
          <w:rFonts w:hint="eastAsia" w:ascii="宋体" w:hAnsi="宋体" w:eastAsia="宋体" w:cs="Times New Roman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Cs w:val="21"/>
          <w:highlight w:val="none"/>
        </w:rPr>
        <w:t>为鼓励不同品牌的充分竞争，如某设备的某技术参数或要求属于个别品牌</w:t>
      </w:r>
      <w:bookmarkStart w:id="11" w:name="_GoBack"/>
      <w:bookmarkEnd w:id="11"/>
      <w:r>
        <w:rPr>
          <w:rFonts w:hint="eastAsia" w:ascii="宋体" w:hAnsi="宋体" w:eastAsia="宋体" w:cs="Times New Roman"/>
          <w:b/>
          <w:color w:val="auto"/>
          <w:szCs w:val="21"/>
          <w:highlight w:val="none"/>
        </w:rPr>
        <w:t>专有，则该技术参数及要求不具有限制性，投标人可对该参数或要求进行适当调整，但这种调整整体上要优于或相当于采购文件的相关要求。</w:t>
      </w:r>
    </w:p>
    <w:p w14:paraId="19F5CF57">
      <w:pPr>
        <w:widowControl/>
        <w:numPr>
          <w:ilvl w:val="0"/>
          <w:numId w:val="1"/>
        </w:numPr>
        <w:spacing w:line="360" w:lineRule="auto"/>
        <w:jc w:val="left"/>
        <w:rPr>
          <w:rFonts w:hint="eastAsia"/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货物需求一览表</w:t>
      </w:r>
      <w:bookmarkStart w:id="0" w:name="_Hlk96158360"/>
      <w:bookmarkStart w:id="1" w:name="_Hlk106267351"/>
    </w:p>
    <w:tbl>
      <w:tblPr>
        <w:tblStyle w:val="6"/>
        <w:tblW w:w="9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178"/>
        <w:gridCol w:w="5506"/>
        <w:gridCol w:w="654"/>
        <w:gridCol w:w="1229"/>
        <w:gridCol w:w="698"/>
      </w:tblGrid>
      <w:tr w14:paraId="165A3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D299A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5CA36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55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F5B887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技术参数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1952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量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E70D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单价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限价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元/套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668B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备注</w:t>
            </w:r>
          </w:p>
        </w:tc>
      </w:tr>
      <w:tr w14:paraId="73426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6D25D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13C89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日常生活能力评估与训练系统</w:t>
            </w:r>
          </w:p>
        </w:tc>
        <w:tc>
          <w:tcPr>
            <w:tcW w:w="5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1D4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1.软件具有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通讯连接设置模块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系统登录模块、患者信息管理模块、评估模块、测量、训练模块、量表功能以及报告模块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1B58D738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系统评估功能包含关节活动度评估、肌力评估、平衡能力评估和标准量表评估功能。</w:t>
            </w:r>
          </w:p>
          <w:p w14:paraId="03905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3.关节活动度评估模块：3D传感器功能，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系统配置无线3D传感器，可以佩戴到身体的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相应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部位，实现关节活动度评估和游戏训练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035B0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4.具有电子尺校准功能、手部关节活动范围测量、腕关节活动范围测量、前臂关节活动范围测量、颈部背部关节活动范围测量、下肢关节活动范围测量功能等。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电子角度尺的可测量量程为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～360°</w:t>
            </w:r>
            <w:r>
              <w:rPr>
                <w:rFonts w:hint="eastAsia" w:ascii="宋体" w:hAnsi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（提供截图或第三方检测报告）</w:t>
            </w:r>
          </w:p>
          <w:p w14:paraId="69C4C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系统可以与多个力传感器连接，可以实现手部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捏力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握力测试训练。</w:t>
            </w:r>
          </w:p>
          <w:p w14:paraId="7B6B4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6.系统具有痛点记录和痛点清零功能，在所有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关节活动度评估和肌力评估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过程中，若患者的肢体活动到某位置时产生疼痛感，可在系统界面点击“痛点记录”，即在当前疼痛位置记录痛点，记录结果会自动生成在评估报告中；若痛点记录错误或患者已无疼痛感，可点击“痛点清零”消除记录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（提供软件截图证明）</w:t>
            </w:r>
          </w:p>
          <w:p w14:paraId="0E9C7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7.系统具有阻尼测量和阻尼设置功能，可以评估患者相应转动阻尼等级下，手部旋前和旋后活动范围测量及疼痛点的记录，并自动保存测量报告。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中央阻尼器的阻尼可以1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～10级可调，阻尼器的量程为-180°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～+180°。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（提供截图或第三方检测报告）</w:t>
            </w:r>
          </w:p>
          <w:p w14:paraId="752FD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8.系统具有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平衡能力评估功能：</w:t>
            </w:r>
          </w:p>
          <w:p w14:paraId="7E5EA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8.1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系统具有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姿态下的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平衡能力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测试评估及训练模式，操作者可以根据患者的具体情况选择不同姿态下的评估或训练，更有针对性，实现精准康复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61907196">
            <w:pPr>
              <w:pStyle w:val="5"/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8.2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重心稳定性评估、单侧姿态评估、稳定极限评估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模式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。平衡重心稳定测试模式测试患者在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睁眼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闭眼状态下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实时分析反馈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平衡能力及重心的变化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数据直观；</w:t>
            </w:r>
          </w:p>
          <w:p w14:paraId="0855A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8.3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脚部平衡板可测量量程为0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～150kg，允差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3kg。</w:t>
            </w:r>
          </w:p>
          <w:p w14:paraId="43E81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9.系统具有FIM评定量表、Barthel评定量表、简易精神状态评估量表、社会生活能力评定量表、Brunnstrom等评定量表。</w:t>
            </w:r>
          </w:p>
          <w:p w14:paraId="68951AAD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系统具有训练处方功能，可以根据评估数据制定个性化训练方案，训练前，可以一次选好所有要训练的项目，可以对训练难度、训练时长、间隔时长等各种训练参数设置，可以添加和删除、保存和预览处方，训练中途不用再选择训练项目及设置参数，节约治疗师时间。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49BDF6">
            <w:pPr>
              <w:widowControl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08E4198">
            <w:pPr>
              <w:widowControl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25万元/套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31C2D74">
            <w:pPr>
              <w:widowControl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国产</w:t>
            </w:r>
          </w:p>
        </w:tc>
      </w:tr>
      <w:tr w14:paraId="17CF2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9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F6CED">
            <w:pPr>
              <w:widowControl/>
              <w:spacing w:line="360" w:lineRule="auto"/>
              <w:ind w:left="630" w:hanging="630" w:hangingChars="3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highlight w:val="none"/>
              </w:rPr>
              <w:t>说明：</w:t>
            </w:r>
          </w:p>
          <w:p w14:paraId="324609E7">
            <w:pPr>
              <w:widowControl/>
              <w:spacing w:line="360" w:lineRule="auto"/>
              <w:ind w:firstLine="420" w:firstLineChars="200"/>
              <w:jc w:val="left"/>
              <w:textAlignment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1.投标人的投标文件必须标明所投货物的品牌与参数，保证原厂正品供货。</w:t>
            </w:r>
          </w:p>
          <w:p w14:paraId="72251CC8">
            <w:pPr>
              <w:widowControl/>
              <w:spacing w:line="360" w:lineRule="auto"/>
              <w:ind w:left="420" w:leftChars="200"/>
              <w:jc w:val="left"/>
              <w:textAlignment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2.免费质保期：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val="en-US" w:eastAsia="zh-CN"/>
              </w:rPr>
              <w:t>所投软硬件设备设施及配置，均需提供原厂质保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至少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3  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eastAsia="zh-CN"/>
              </w:rPr>
              <w:t>。</w:t>
            </w:r>
          </w:p>
          <w:p w14:paraId="1A9CEB48">
            <w:pPr>
              <w:widowControl/>
              <w:spacing w:line="360" w:lineRule="auto"/>
              <w:ind w:firstLine="420" w:firstLineChars="200"/>
              <w:jc w:val="left"/>
              <w:textAlignment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.所有技术参数及要求采购人验收时将逐条核对，如发现与实际情况不符、虚假响应等，采购人有权报监管部门并追究违约责任。</w:t>
            </w:r>
          </w:p>
          <w:p w14:paraId="10FAF5BC">
            <w:pPr>
              <w:widowControl/>
              <w:spacing w:line="360" w:lineRule="auto"/>
              <w:ind w:firstLine="420" w:firstLineChars="200"/>
              <w:jc w:val="left"/>
              <w:textAlignment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.投标人应按照采购文件要求提供证明材料。若投标提供了采购文件未要求的证明材料，评标委员会将不予评审。</w:t>
            </w:r>
          </w:p>
          <w:p w14:paraId="586815BB">
            <w:pPr>
              <w:widowControl/>
              <w:spacing w:line="360" w:lineRule="auto"/>
              <w:ind w:firstLine="420" w:firstLineChars="200"/>
              <w:jc w:val="left"/>
              <w:rPr>
                <w:rFonts w:hint="default" w:eastAsia="宋体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.投标人提供的证明材料须清晰的反映评审内容，如因材料模糊不清，导致评标委员会无法辨认的，评标委员会可以不予认可，一切后果由投标人自行承担。</w:t>
            </w:r>
          </w:p>
        </w:tc>
      </w:tr>
      <w:bookmarkEnd w:id="0"/>
      <w:bookmarkEnd w:id="1"/>
    </w:tbl>
    <w:p w14:paraId="395AD889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0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0"/>
          <w:highlight w:val="none"/>
          <w:lang w:val="en-US" w:eastAsia="zh-CN" w:bidi="ar-SA"/>
        </w:rPr>
        <w:t>二、配置要求</w:t>
      </w:r>
    </w:p>
    <w:tbl>
      <w:tblPr>
        <w:tblStyle w:val="7"/>
        <w:tblW w:w="7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3935"/>
        <w:gridCol w:w="2049"/>
      </w:tblGrid>
      <w:tr w14:paraId="47885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694017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  <w:t>序号</w:t>
            </w:r>
          </w:p>
        </w:tc>
        <w:tc>
          <w:tcPr>
            <w:tcW w:w="3935" w:type="dxa"/>
          </w:tcPr>
          <w:p w14:paraId="190589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  <w:t>配置名称</w:t>
            </w:r>
          </w:p>
        </w:tc>
        <w:tc>
          <w:tcPr>
            <w:tcW w:w="2049" w:type="dxa"/>
          </w:tcPr>
          <w:p w14:paraId="3D30AA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  <w:t>数量</w:t>
            </w:r>
          </w:p>
        </w:tc>
      </w:tr>
      <w:tr w14:paraId="359BE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272A67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1</w:t>
            </w:r>
          </w:p>
        </w:tc>
        <w:tc>
          <w:tcPr>
            <w:tcW w:w="3935" w:type="dxa"/>
          </w:tcPr>
          <w:p w14:paraId="092C2A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中央阻尼器</w:t>
            </w:r>
          </w:p>
        </w:tc>
        <w:tc>
          <w:tcPr>
            <w:tcW w:w="2049" w:type="dxa"/>
          </w:tcPr>
          <w:p w14:paraId="3AB3A3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1台</w:t>
            </w:r>
          </w:p>
        </w:tc>
      </w:tr>
      <w:tr w14:paraId="3E1EF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603E8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2</w:t>
            </w:r>
          </w:p>
        </w:tc>
        <w:tc>
          <w:tcPr>
            <w:tcW w:w="3935" w:type="dxa"/>
          </w:tcPr>
          <w:p w14:paraId="190DE1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盘型工具</w:t>
            </w:r>
          </w:p>
        </w:tc>
        <w:tc>
          <w:tcPr>
            <w:tcW w:w="2049" w:type="dxa"/>
          </w:tcPr>
          <w:p w14:paraId="059005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1套</w:t>
            </w:r>
          </w:p>
        </w:tc>
      </w:tr>
      <w:tr w14:paraId="0A51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607015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3</w:t>
            </w:r>
          </w:p>
        </w:tc>
        <w:tc>
          <w:tcPr>
            <w:tcW w:w="3935" w:type="dxa"/>
          </w:tcPr>
          <w:p w14:paraId="08D92D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杠杆工具</w:t>
            </w:r>
          </w:p>
        </w:tc>
        <w:tc>
          <w:tcPr>
            <w:tcW w:w="2049" w:type="dxa"/>
          </w:tcPr>
          <w:p w14:paraId="0F23A3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1个</w:t>
            </w:r>
          </w:p>
        </w:tc>
      </w:tr>
      <w:tr w14:paraId="41DE9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744E4B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4</w:t>
            </w:r>
          </w:p>
        </w:tc>
        <w:tc>
          <w:tcPr>
            <w:tcW w:w="3935" w:type="dxa"/>
          </w:tcPr>
          <w:p w14:paraId="1A6EFF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钥匙工具</w:t>
            </w:r>
          </w:p>
        </w:tc>
        <w:tc>
          <w:tcPr>
            <w:tcW w:w="2049" w:type="dxa"/>
          </w:tcPr>
          <w:p w14:paraId="725F6A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1个</w:t>
            </w:r>
          </w:p>
        </w:tc>
      </w:tr>
      <w:tr w14:paraId="34516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59354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5</w:t>
            </w:r>
          </w:p>
        </w:tc>
        <w:tc>
          <w:tcPr>
            <w:tcW w:w="3935" w:type="dxa"/>
          </w:tcPr>
          <w:p w14:paraId="63573F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圆柱工具</w:t>
            </w:r>
          </w:p>
        </w:tc>
        <w:tc>
          <w:tcPr>
            <w:tcW w:w="2049" w:type="dxa"/>
          </w:tcPr>
          <w:p w14:paraId="7EF7CD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个</w:t>
            </w:r>
          </w:p>
        </w:tc>
      </w:tr>
      <w:tr w14:paraId="303D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21F61C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6</w:t>
            </w:r>
          </w:p>
        </w:tc>
        <w:tc>
          <w:tcPr>
            <w:tcW w:w="3935" w:type="dxa"/>
          </w:tcPr>
          <w:p w14:paraId="3CFEBB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把手工具</w:t>
            </w:r>
          </w:p>
        </w:tc>
        <w:tc>
          <w:tcPr>
            <w:tcW w:w="2049" w:type="dxa"/>
          </w:tcPr>
          <w:p w14:paraId="41E19E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个</w:t>
            </w:r>
          </w:p>
        </w:tc>
      </w:tr>
      <w:tr w14:paraId="6C85B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36B3EA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7</w:t>
            </w:r>
          </w:p>
        </w:tc>
        <w:tc>
          <w:tcPr>
            <w:tcW w:w="3935" w:type="dxa"/>
          </w:tcPr>
          <w:p w14:paraId="2CDD09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方向盘工具</w:t>
            </w:r>
          </w:p>
        </w:tc>
        <w:tc>
          <w:tcPr>
            <w:tcW w:w="2049" w:type="dxa"/>
          </w:tcPr>
          <w:p w14:paraId="378947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1个</w:t>
            </w:r>
          </w:p>
        </w:tc>
      </w:tr>
      <w:tr w14:paraId="1DC98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326272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8</w:t>
            </w:r>
          </w:p>
        </w:tc>
        <w:tc>
          <w:tcPr>
            <w:tcW w:w="3935" w:type="dxa"/>
          </w:tcPr>
          <w:p w14:paraId="482ABD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握力测试工具</w:t>
            </w:r>
          </w:p>
        </w:tc>
        <w:tc>
          <w:tcPr>
            <w:tcW w:w="2049" w:type="dxa"/>
          </w:tcPr>
          <w:p w14:paraId="783D6E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个</w:t>
            </w:r>
          </w:p>
        </w:tc>
      </w:tr>
      <w:tr w14:paraId="71C31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1B2201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9</w:t>
            </w:r>
          </w:p>
        </w:tc>
        <w:tc>
          <w:tcPr>
            <w:tcW w:w="3935" w:type="dxa"/>
          </w:tcPr>
          <w:p w14:paraId="27B22D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平衡底座</w:t>
            </w:r>
          </w:p>
        </w:tc>
        <w:tc>
          <w:tcPr>
            <w:tcW w:w="2049" w:type="dxa"/>
          </w:tcPr>
          <w:p w14:paraId="39B0C2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1套</w:t>
            </w:r>
          </w:p>
        </w:tc>
      </w:tr>
      <w:tr w14:paraId="0866A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3CA37C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10</w:t>
            </w:r>
          </w:p>
        </w:tc>
        <w:tc>
          <w:tcPr>
            <w:tcW w:w="3935" w:type="dxa"/>
          </w:tcPr>
          <w:p w14:paraId="2266CE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脚部重力板（左）</w:t>
            </w:r>
          </w:p>
        </w:tc>
        <w:tc>
          <w:tcPr>
            <w:tcW w:w="2049" w:type="dxa"/>
          </w:tcPr>
          <w:p w14:paraId="7639ED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2块</w:t>
            </w:r>
          </w:p>
        </w:tc>
      </w:tr>
      <w:tr w14:paraId="02191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4519B3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11</w:t>
            </w:r>
          </w:p>
        </w:tc>
        <w:tc>
          <w:tcPr>
            <w:tcW w:w="3935" w:type="dxa"/>
          </w:tcPr>
          <w:p w14:paraId="4CE9D5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关节电子量角器</w:t>
            </w:r>
          </w:p>
        </w:tc>
        <w:tc>
          <w:tcPr>
            <w:tcW w:w="2049" w:type="dxa"/>
          </w:tcPr>
          <w:p w14:paraId="548A45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1个</w:t>
            </w:r>
          </w:p>
        </w:tc>
      </w:tr>
      <w:tr w14:paraId="367C9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428594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12</w:t>
            </w:r>
          </w:p>
        </w:tc>
        <w:tc>
          <w:tcPr>
            <w:tcW w:w="3935" w:type="dxa"/>
          </w:tcPr>
          <w:p w14:paraId="1859A2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3D传感器套件</w:t>
            </w:r>
          </w:p>
        </w:tc>
        <w:tc>
          <w:tcPr>
            <w:tcW w:w="2049" w:type="dxa"/>
          </w:tcPr>
          <w:p w14:paraId="094BA9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1套</w:t>
            </w:r>
          </w:p>
        </w:tc>
      </w:tr>
      <w:tr w14:paraId="69C09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4A92CC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color="666666"/>
                <w:lang w:val="en-US" w:eastAsia="zh-CN"/>
              </w:rPr>
              <w:t>13</w:t>
            </w:r>
          </w:p>
        </w:tc>
        <w:tc>
          <w:tcPr>
            <w:tcW w:w="3935" w:type="dxa"/>
          </w:tcPr>
          <w:p w14:paraId="1767F5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日常综合能力评估与训练系统软件</w:t>
            </w:r>
          </w:p>
        </w:tc>
        <w:tc>
          <w:tcPr>
            <w:tcW w:w="2049" w:type="dxa"/>
          </w:tcPr>
          <w:p w14:paraId="4528F4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color="666666"/>
              </w:rPr>
              <w:t>1套</w:t>
            </w:r>
          </w:p>
        </w:tc>
      </w:tr>
    </w:tbl>
    <w:p w14:paraId="69D50EB0">
      <w:pPr>
        <w:pStyle w:val="9"/>
        <w:shd w:val="clear" w:color="auto" w:fill="FFFFFF"/>
        <w:spacing w:line="360" w:lineRule="auto"/>
        <w:ind w:firstLine="0" w:firstLineChars="0"/>
        <w:jc w:val="left"/>
        <w:rPr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供货期</w:t>
      </w:r>
    </w:p>
    <w:p w14:paraId="2DA171A5">
      <w:pPr>
        <w:spacing w:line="360" w:lineRule="auto"/>
        <w:ind w:firstLine="420" w:firstLineChars="200"/>
        <w:outlineLvl w:val="1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合同签订后20日历天内完成供货安装调试</w:t>
      </w:r>
      <w:r>
        <w:rPr>
          <w:rFonts w:hint="eastAsia" w:ascii="宋体" w:hAnsi="宋体" w:cs="宋体"/>
          <w:color w:val="auto"/>
          <w:szCs w:val="21"/>
          <w:highlight w:val="none"/>
        </w:rPr>
        <w:t>。</w:t>
      </w:r>
    </w:p>
    <w:p w14:paraId="25919C83">
      <w:pPr>
        <w:spacing w:line="360" w:lineRule="auto"/>
        <w:outlineLvl w:val="1"/>
        <w:rPr>
          <w:rFonts w:hint="eastAsia" w:asciiTheme="majorEastAsia" w:hAnsiTheme="majorEastAsia" w:eastAsiaTheme="majorEastAsia" w:cstheme="majorEastAsia"/>
          <w:b/>
          <w:bCs/>
          <w:color w:val="auto"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Cs w:val="21"/>
          <w:highlight w:val="none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Cs w:val="21"/>
          <w:highlight w:val="none"/>
        </w:rPr>
        <w:t>、报价要求</w:t>
      </w:r>
    </w:p>
    <w:p w14:paraId="5E2E11B3">
      <w:pPr>
        <w:spacing w:line="360" w:lineRule="auto"/>
        <w:ind w:firstLine="437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</w:rPr>
        <w:t>本项目采用总价包干，报价包括为完成本项目而产生的全部费用（除采购需求列明的货物需求外，如投标人所投产品须配套其他必要的货物方可正常使用的，投标人须为本项目配备，费用包含在报价中），采购人后期不再追加任何费用，请投标人谨慎报价。</w:t>
      </w:r>
    </w:p>
    <w:p w14:paraId="007BC3F4">
      <w:pPr>
        <w:spacing w:line="360" w:lineRule="auto"/>
        <w:ind w:left="422" w:hanging="422" w:hangingChars="200"/>
        <w:outlineLvl w:val="1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</w:rPr>
      </w:pPr>
      <w:bookmarkStart w:id="2" w:name="_Toc15293"/>
      <w:bookmarkStart w:id="3" w:name="_Toc14698"/>
      <w:r>
        <w:rPr>
          <w:rFonts w:hint="eastAsia" w:asciiTheme="majorEastAsia" w:hAnsiTheme="majorEastAsia" w:eastAsiaTheme="majorEastAsia" w:cstheme="majorEastAsia"/>
          <w:b/>
          <w:bCs/>
          <w:color w:val="auto"/>
          <w:szCs w:val="21"/>
          <w:highlight w:val="none"/>
          <w:lang w:val="en-US" w:eastAsia="zh-CN"/>
        </w:rPr>
        <w:t>五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Cs w:val="21"/>
          <w:highlight w:val="none"/>
        </w:rPr>
        <w:t>、其他要求</w:t>
      </w:r>
      <w:bookmarkEnd w:id="2"/>
      <w:bookmarkEnd w:id="3"/>
      <w:bookmarkStart w:id="4" w:name="_Toc15427"/>
      <w:bookmarkStart w:id="5" w:name="_Toc4579"/>
      <w:r>
        <w:rPr>
          <w:rFonts w:hint="eastAsia" w:asciiTheme="majorEastAsia" w:hAnsiTheme="majorEastAsia" w:eastAsiaTheme="majorEastAsia" w:cstheme="majorEastAsia"/>
          <w:b/>
          <w:bCs/>
          <w:color w:val="auto"/>
          <w:szCs w:val="21"/>
          <w:highlight w:val="none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</w:rPr>
        <w:t>1.</w:t>
      </w:r>
      <w:bookmarkEnd w:id="4"/>
      <w:bookmarkEnd w:id="5"/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</w:rPr>
        <w:t>货物验收合格后，中标人应对采购人的相关人员进行免费现场培训。</w:t>
      </w:r>
    </w:p>
    <w:p w14:paraId="086BC880"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</w:rPr>
      </w:pPr>
      <w:bookmarkStart w:id="6" w:name="_Toc21193"/>
      <w:bookmarkStart w:id="7" w:name="_Toc23557"/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</w:rPr>
        <w:t>2.货物质量</w:t>
      </w:r>
      <w:bookmarkEnd w:id="6"/>
      <w:bookmarkEnd w:id="7"/>
      <w:bookmarkStart w:id="8" w:name="_Toc7485"/>
      <w:bookmarkStart w:id="9" w:name="_Toc23093"/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</w:rPr>
        <w:t>中标人提供的货物必须是全新、原装、合格正品，完全符合国家规定的质量标准和厂方的标准。货物完好，配件齐全。</w:t>
      </w:r>
    </w:p>
    <w:p w14:paraId="74EBEAD3"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3.售后服务内容</w:t>
      </w:r>
    </w:p>
    <w:p w14:paraId="408D414A"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（1）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中标人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在质保期内应当为采购人提供以下技术支持和服务：</w:t>
      </w:r>
    </w:p>
    <w:p w14:paraId="223EEB75"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①电话咨询</w:t>
      </w:r>
    </w:p>
    <w:p w14:paraId="4423704A"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中标人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应当为采购人提供7×24小时技术援助电话，解答采购人在使用中遇到的问题，及时为采购人提出解决问题的建议。</w:t>
      </w:r>
    </w:p>
    <w:p w14:paraId="3CA726ED"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②现场响应</w:t>
      </w:r>
    </w:p>
    <w:p w14:paraId="7069A2E7">
      <w:pPr>
        <w:spacing w:line="360" w:lineRule="auto"/>
        <w:ind w:firstLine="420" w:firstLineChars="200"/>
        <w:rPr>
          <w:rFonts w:hint="eastAsia" w:eastAsia="宋体" w:asciiTheme="majorEastAsia" w:hAnsi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采购人遇到使用及技术问题，中标人应在 12小时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（含）内到达现场进行处理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，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到达现场后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12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小时内（含）排除故障，确保系统正常工作。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由于处理系统软件或设备故障不及时导致采购人工作无法正常开展，对采购人造成损失的，中标人需赔偿采购人的经济损失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。</w:t>
      </w:r>
    </w:p>
    <w:p w14:paraId="04099E9F"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③技术升级</w:t>
      </w:r>
    </w:p>
    <w:p w14:paraId="773C0764"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在质保期内，如果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中标人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的产品技术升级，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中标人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应及时通知采购人，如采购人有相应要求，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中标人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应对采购人购买的产品进行免费升级服务。</w:t>
      </w:r>
    </w:p>
    <w:p w14:paraId="1C65A895"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（2）质保期外服务要求</w:t>
      </w:r>
    </w:p>
    <w:p w14:paraId="4DEC2B65"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①质量保证期过后，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中标人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应同样提供免费电话咨询服务，并提供产品上门维护服务。</w:t>
      </w:r>
    </w:p>
    <w:p w14:paraId="46F5AE61"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②质量保证期过后，采购人需要继续由原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中标人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提供售后服务的，该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中标人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应以优惠价格提供售后服务。</w:t>
      </w:r>
    </w:p>
    <w:p w14:paraId="66776786"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4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.</w:t>
      </w:r>
      <w:bookmarkStart w:id="10" w:name="_Toc13700"/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保密条款</w:t>
      </w:r>
      <w:bookmarkEnd w:id="10"/>
    </w:p>
    <w:p w14:paraId="2246EFBC"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4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.1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中标人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对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系统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中涉及的采购人医院的文件、资料材料负有保密义务，未经采购人书面许可，不得向任何第三方或个人泄漏相关信息，以及用作商业或其他用途，由此而引起的一切法律责任和费用由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中标人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应承担。</w:t>
      </w:r>
    </w:p>
    <w:p w14:paraId="48E6261E"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4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.2采购人对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系统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中获知的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中标人</w:t>
      </w:r>
      <w:r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商业秘密或其它技术及经营信息均负有保密义务，不得向任何第三或个人方透露或泄露。</w:t>
      </w:r>
    </w:p>
    <w:p w14:paraId="16BBD159"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 xml:space="preserve">    5.</w:t>
      </w:r>
      <w:bookmarkEnd w:id="8"/>
      <w:bookmarkEnd w:id="9"/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中标人和采购人双方共同实施验收工作，结果和验收报告经双方确认后生效。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Cs w:val="21"/>
          <w:highlight w:val="none"/>
          <w:lang w:val="en-US" w:eastAsia="zh-CN"/>
        </w:rPr>
        <w:t>六、付款方式</w:t>
      </w:r>
    </w:p>
    <w:p w14:paraId="1630110F"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系统安装调试完成最终验收合格，采购人在30日历天内向中标人支付合同总金额的60%。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系统正常运行6个月，采购人在30日历天内向中标人支付合同总金额的30%。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系统正常运行免费保修期满后，采购人在30日历天内向中标人一次性付清合同总金额10%。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6CD41C"/>
    <w:multiLevelType w:val="singleLevel"/>
    <w:tmpl w:val="416CD4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D31B7"/>
    <w:rsid w:val="020D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  <w:rPr>
      <w:rFonts w:eastAsia="楷体_GB2312"/>
    </w:rPr>
  </w:style>
  <w:style w:type="paragraph" w:styleId="3">
    <w:name w:val="Body Text Indent"/>
    <w:basedOn w:val="1"/>
    <w:next w:val="4"/>
    <w:qFormat/>
    <w:uiPriority w:val="0"/>
    <w:pPr>
      <w:ind w:firstLine="645"/>
    </w:pPr>
    <w:rPr>
      <w:sz w:val="20"/>
    </w:rPr>
  </w:style>
  <w:style w:type="paragraph" w:styleId="4">
    <w:name w:val="envelope return"/>
    <w:basedOn w:val="1"/>
    <w:unhideWhenUsed/>
    <w:qFormat/>
    <w:uiPriority w:val="0"/>
    <w:pPr>
      <w:snapToGrid w:val="0"/>
      <w:spacing w:beforeLines="50" w:afterLines="50" w:line="360" w:lineRule="auto"/>
      <w:ind w:firstLine="480" w:firstLineChars="200"/>
    </w:pPr>
    <w:rPr>
      <w:rFonts w:ascii="Arial" w:hAnsi="Arial" w:cs="Arial"/>
      <w:sz w:val="24"/>
    </w:rPr>
  </w:style>
  <w:style w:type="paragraph" w:styleId="5">
    <w:name w:val="annotation text"/>
    <w:basedOn w:val="1"/>
    <w:qFormat/>
    <w:uiPriority w:val="99"/>
    <w:pPr>
      <w:jc w:val="left"/>
    </w:pPr>
    <w:rPr>
      <w:sz w:val="20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2025-07-24T01:43:00Z</dcterms:created>
  <dc:creator>好运</dc:creator>
  <cp:lastModifiedBy>好运</cp:lastModifiedBy>
  <dcterms:modified xsi:type="dcterms:W3CDTF">2025-07-24T01:44:41Z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9CF30797D97D4C5D8C2EE924A5ED05A9_11</vt:lpwstr>
  </property>
  <property fmtid="{D5CDD505-2E9C-101B-9397-08002B2CF9AE}" pid="4" name="KSOTemplateDocerSaveRecord">
    <vt:lpwstr>eyJoZGlkIjoiNmViOTI1YjMzNzU1MGU0NTliYzYxY2RiZWM1MzEwMGQiLCJ1c2VySWQiOiI0MjM0NDQ1ODIifQ==</vt:lpwstr>
  </property>
</Properties>
</file>